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光与解压服务条款</w:t>
      </w:r>
    </w:p>
    <w:p>
      <w:r>
        <w:t>版本：V8 · 生效与更新日期：2026年10月10日</w:t>
      </w:r>
    </w:p>
    <w:p>
      <w:pPr>
        <w:pStyle w:val="Heading1"/>
      </w:pPr>
      <w:r>
        <w:t>目录</w:t>
      </w:r>
    </w:p>
    <w:p>
      <w:hyperlink w:anchor="section_4">
        <w:r>
          <w:rPr>
            <w:color w:val="234C70"/>
          </w:rPr>
          <w:t>1. 服务提供方</w:t>
        </w:r>
      </w:hyperlink>
    </w:p>
    <w:p>
      <w:hyperlink w:anchor="section_7">
        <w:r>
          <w:rPr>
            <w:color w:val="234C70"/>
          </w:rPr>
          <w:t>2. 产品与提供状态</w:t>
        </w:r>
      </w:hyperlink>
    </w:p>
    <w:p>
      <w:hyperlink w:anchor="section_10">
        <w:r>
          <w:rPr>
            <w:color w:val="234C70"/>
          </w:rPr>
          <w:t>3. 本地文件与隐私</w:t>
        </w:r>
      </w:hyperlink>
    </w:p>
    <w:p>
      <w:hyperlink w:anchor="section_13">
        <w:r>
          <w:rPr>
            <w:color w:val="234C70"/>
          </w:rPr>
          <w:t>4. 文件来源、密码与备份</w:t>
        </w:r>
      </w:hyperlink>
    </w:p>
    <w:p>
      <w:hyperlink w:anchor="section_16">
        <w:r>
          <w:rPr>
            <w:color w:val="234C70"/>
          </w:rPr>
          <w:t>5. 软件使用许可</w:t>
        </w:r>
      </w:hyperlink>
    </w:p>
    <w:p>
      <w:hyperlink w:anchor="section_19">
        <w:r>
          <w:rPr>
            <w:color w:val="234C70"/>
          </w:rPr>
          <w:t>6. 兼容性、更新与费用</w:t>
        </w:r>
      </w:hyperlink>
    </w:p>
    <w:p>
      <w:hyperlink w:anchor="section_22">
        <w:r>
          <w:rPr>
            <w:color w:val="234C70"/>
          </w:rPr>
          <w:t>7. 免责声明与责任</w:t>
        </w:r>
      </w:hyperlink>
    </w:p>
    <w:p>
      <w:hyperlink w:anchor="section_25">
        <w:r>
          <w:rPr>
            <w:color w:val="234C70"/>
          </w:rPr>
          <w:t>8. 停止使用与条款变更</w:t>
        </w:r>
      </w:hyperlink>
    </w:p>
    <w:p>
      <w:hyperlink w:anchor="section_28">
        <w:r>
          <w:rPr>
            <w:color w:val="234C70"/>
          </w:rPr>
          <w:t>9. 法律与争议</w:t>
        </w:r>
      </w:hyperlink>
    </w:p>
    <w:p>
      <w:hyperlink w:anchor="section_31">
        <w:r>
          <w:rPr>
            <w:color w:val="234C70"/>
          </w:rPr>
          <w:t>10. 联系我们</w:t>
        </w:r>
      </w:hyperlink>
    </w:p>
    <w:p>
      <w:r>
        <w:br w:type="page"/>
      </w:r>
    </w:p>
    <w:p>
      <w:pPr>
        <w:pStyle w:val="Title"/>
        <w:widowControl/>
      </w:pPr>
      <w:r>
        <w:t>光与解压服务条款</w:t>
      </w:r>
    </w:p>
    <w:p>
      <w:pPr>
        <w:widowControl/>
      </w:pPr>
      <w:r>
        <w:t>版本：V8</w:t>
        <w:br/>
        <w:t>修订日期：2026年10月10日</w:t>
        <w:br/>
        <w:t>生效日期：2026年10月10日</w:t>
        <w:br/>
        <w:t>提供主体：上海追光智创文化传媒有限公司</w:t>
      </w:r>
    </w:p>
    <w:p>
      <w:pPr>
        <w:widowControl/>
      </w:pPr>
      <w:r>
        <w:t>欢迎了解光与解压（DAWNBLOOM Archive）。本条款适用于从官方渠道下载、安装或使用光与解压及其更新和相关官方服务。</w:t>
      </w:r>
    </w:p>
    <w:p>
      <w:pPr>
        <w:widowControl/>
      </w:pPr>
      <w:r>
        <w:t>下载或使用光与解压，即表示您已阅读并同意本条款。若不同意，请不要下载或使用。软件提供状态与安装包信息以官网实际展示为准。</w:t>
      </w:r>
    </w:p>
    <w:p>
      <w:bookmarkStart w:id="4" w:name="section_4"/>
      <w:pPr>
        <w:pStyle w:val="Heading1"/>
        <w:widowControl/>
      </w:pPr>
      <w:r>
        <w:t>1. 服务提供方</w:t>
      </w:r>
      <w:bookmarkEnd w:id="4"/>
    </w:p>
    <w:p>
      <w:pPr>
        <w:widowControl/>
      </w:pPr>
      <w:r>
        <w:t>光与解压由上海追光智创文化传媒有限公司提供和维护。</w:t>
      </w:r>
    </w:p>
    <w:p>
      <w:pPr>
        <w:widowControl/>
      </w:pPr>
      <w:r>
        <w:t>联系邮箱：</w:t>
      </w:r>
      <w:hyperlink r:id="rId16">
        <w:r>
          <w:rPr>
            <w:color w:val="234C70"/>
          </w:rPr>
          <w:t>support@dawnbloom.net</w:t>
        </w:r>
      </w:hyperlink>
      <w:r>
        <w:t>。官方网站：</w:t>
      </w:r>
      <w:hyperlink r:id="rId11">
        <w:r>
          <w:rPr>
            <w:color w:val="234C70"/>
          </w:rPr>
          <w:t>https://dawnbloom.net</w:t>
        </w:r>
      </w:hyperlink>
      <w:r>
        <w:t>。法定联系地址：中国（上海）自由贸易试验区临港新片区天骄路336号3幢218室。</w:t>
      </w:r>
    </w:p>
    <w:p>
      <w:bookmarkStart w:id="7" w:name="section_7"/>
      <w:pPr>
        <w:pStyle w:val="Heading1"/>
        <w:widowControl/>
      </w:pPr>
      <w:r>
        <w:t>2. 产品与提供状态</w:t>
      </w:r>
      <w:bookmarkEnd w:id="7"/>
    </w:p>
    <w:p>
      <w:pPr>
        <w:widowControl/>
      </w:pPr>
      <w:r>
        <w:t>光与解压是用于在设备本地浏览、压缩、解压、预览和检查归档文件的桌面工具。各平台的功能、兼容性和提供时间以相应正式版本及官网实际公布的信息为准。</w:t>
      </w:r>
    </w:p>
    <w:p>
      <w:pPr>
        <w:widowControl/>
      </w:pPr>
      <w:r>
        <w:t>产品提供 macOS 与 Windows 版本；具体下载状态、架构与签名状态请查看官网对应的平台卡片。</w:t>
      </w:r>
    </w:p>
    <w:p>
      <w:bookmarkStart w:id="10" w:name="section_10"/>
      <w:pPr>
        <w:pStyle w:val="Heading1"/>
        <w:widowControl/>
      </w:pPr>
      <w:r>
        <w:t>3. 本地文件与隐私</w:t>
      </w:r>
      <w:bookmarkEnd w:id="10"/>
    </w:p>
    <w:p>
      <w:pPr>
        <w:widowControl/>
      </w:pPr>
      <w:r>
        <w:t>目前已实现的归档浏览、压缩、解压、预览和完整性检查在本机进行。DAWNBLOOM 服务器不负责上传、解压、保存或读取您的归档内容。请阅读产品隐私说明及统一《DAWNBLOOM 隐私政策》，了解有关数据处理的完整说明。</w:t>
      </w:r>
    </w:p>
    <w:p>
      <w:pPr>
        <w:widowControl/>
      </w:pPr>
      <w:r>
        <w:t>账号登录与设置同步为可选功能。仅在您开启同步后，同步语言、压缩格式和压缩预设；文件、归档内容、文件名清单、路径、归档密码、本地历史和临时内容均不进入同步。账号认证按统一账号隐私政策处理。</w:t>
      </w:r>
    </w:p>
    <w:p>
      <w:bookmarkStart w:id="13" w:name="section_13"/>
      <w:pPr>
        <w:pStyle w:val="Heading1"/>
        <w:widowControl/>
      </w:pPr>
      <w:r>
        <w:t>4. 文件来源、密码与备份</w:t>
      </w:r>
      <w:bookmarkEnd w:id="13"/>
    </w:p>
    <w:p>
      <w:pPr>
        <w:widowControl/>
      </w:pPr>
      <w:r>
        <w:t>您应确认对所处理文件具有合法使用权，并自行判断来源是否可信。损坏、缺少分卷、加密、恶意内容或格式差异可能使归档无法读取或产生与预期不同的结果。完整性和风险提示不能保证发现所有问题。</w:t>
      </w:r>
    </w:p>
    <w:p>
      <w:pPr>
        <w:widowControl/>
      </w:pPr>
      <w:r>
        <w:t>请自行保管归档密码，并为重要文件保留独立备份。忘记密码、原文件已经损坏或缺少必要分卷时，软件不保证能够恢复内容。</w:t>
      </w:r>
    </w:p>
    <w:p>
      <w:bookmarkStart w:id="16" w:name="section_16"/>
      <w:pPr>
        <w:pStyle w:val="Heading1"/>
        <w:widowControl/>
      </w:pPr>
      <w:r>
        <w:t>5. 软件使用许可</w:t>
      </w:r>
      <w:bookmarkEnd w:id="16"/>
    </w:p>
    <w:p>
      <w:pPr>
        <w:widowControl/>
      </w:pPr>
      <w:r>
        <w:t>在遵守本条款的前提下，我们授予您有限、非独占、不可转让的许可，允许您在合法拥有或控制的兼容设备上安装和使用正式提供的光与解压。软件、商标、图标、设计和代码的权利不因此转移。</w:t>
      </w:r>
    </w:p>
    <w:p>
      <w:pPr>
        <w:widowControl/>
      </w:pPr>
      <w:r>
        <w:t>除适用法律允许外，不得恶意修改或破坏软件、绕过安全措施、冒充官方发行版、传播恶意软件，或以侵害他人合法权益的方式使用本产品。第三方开源组件受其各自许可证约束。</w:t>
      </w:r>
    </w:p>
    <w:p>
      <w:bookmarkStart w:id="19" w:name="section_19"/>
      <w:pPr>
        <w:pStyle w:val="Heading1"/>
        <w:widowControl/>
      </w:pPr>
      <w:r>
        <w:t>6. 兼容性、更新与费用</w:t>
      </w:r>
      <w:bookmarkEnd w:id="19"/>
    </w:p>
    <w:p>
      <w:pPr>
        <w:widowControl/>
      </w:pPr>
      <w:r>
        <w:t>格式支持和平台能力以官网及对应版本说明为准；支持读取某种格式不代表支持创建该格式。不同归档、编码、系统权限与可用磁盘空间可能影响结果。</w:t>
      </w:r>
    </w:p>
    <w:p>
      <w:pPr>
        <w:widowControl/>
      </w:pPr>
      <w:r>
        <w:t>我们可能提供安全、兼容性和功能更新。任何正式版本的价格或收费方式（如有）会在提供前明确公布；本条款本身不构成收费承诺。</w:t>
      </w:r>
    </w:p>
    <w:p>
      <w:bookmarkStart w:id="22" w:name="section_22"/>
      <w:pPr>
        <w:pStyle w:val="Heading1"/>
        <w:widowControl/>
      </w:pPr>
      <w:r>
        <w:t>7. 免责声明与责任</w:t>
      </w:r>
      <w:bookmarkEnd w:id="22"/>
    </w:p>
    <w:p>
      <w:pPr>
        <w:widowControl/>
      </w:pPr>
      <w:r>
        <w:t>在适用法律允许的范围内，软件按现状和可用状态提供。我们会合理维护安全性和稳定性，但不保证每个归档都能成功读取、修复或解压，也不保证软件能识别所有恶意内容。</w:t>
      </w:r>
    </w:p>
    <w:p>
      <w:pPr>
        <w:widowControl/>
      </w:pPr>
      <w:r>
        <w:t>本条款不排除依法不得排除的责任，不限制因故意或重大过失依法应承担的责任，也不减少您依法享有的强制性消费者权利。</w:t>
      </w:r>
    </w:p>
    <w:p>
      <w:bookmarkStart w:id="25" w:name="section_25"/>
      <w:pPr>
        <w:pStyle w:val="Heading1"/>
        <w:widowControl/>
      </w:pPr>
      <w:r>
        <w:t>8. 停止使用与条款变更</w:t>
      </w:r>
      <w:bookmarkEnd w:id="25"/>
    </w:p>
    <w:p>
      <w:pPr>
        <w:widowControl/>
      </w:pPr>
      <w:r>
        <w:t>您可随时停止使用并卸载软件。卸载前请确认重要归档和输出文件已妥善保存；具体清理方式以相应平台的正式说明为准。</w:t>
      </w:r>
    </w:p>
    <w:p>
      <w:pPr>
        <w:widowControl/>
      </w:pPr>
      <w:r>
        <w:t>我们可能因法律、安全、平台规则或功能变化更新本条款，并在官网标示版本与日期。重大变更会以合理方式告知；依法需要重新明确同意的变更会另行取得同意。</w:t>
      </w:r>
    </w:p>
    <w:p>
      <w:bookmarkStart w:id="28" w:name="section_28"/>
      <w:pPr>
        <w:pStyle w:val="Heading1"/>
        <w:widowControl/>
      </w:pPr>
      <w:r>
        <w:t>9. 法律与争议</w:t>
      </w:r>
      <w:bookmarkEnd w:id="28"/>
    </w:p>
    <w:p>
      <w:pPr>
        <w:widowControl/>
      </w:pPr>
      <w:r>
        <w:t>在不影响适用法律赋予您的强制性消费者权利的前提下，本条款适用中华人民共和国法律。双方应优先友好协商；无法解决时，可依法向服务提供方住所地有管辖权的人民法院起诉。用户所在地强制性法律另有规定的，从其规定。</w:t>
      </w:r>
    </w:p>
    <w:p>
      <w:pPr>
        <w:widowControl/>
      </w:pPr>
      <w:r>
        <w:t>如本条款部分内容无效，不影响其余条款的效力。</w:t>
      </w:r>
    </w:p>
    <w:p>
      <w:bookmarkStart w:id="31" w:name="section_31"/>
      <w:pPr>
        <w:pStyle w:val="Heading1"/>
        <w:widowControl/>
      </w:pPr>
      <w:r>
        <w:t>10. 联系我们</w:t>
      </w:r>
      <w:bookmarkEnd w:id="31"/>
    </w:p>
    <w:p>
      <w:pPr>
        <w:widowControl/>
      </w:pPr>
      <w:r>
        <w:t xml:space="preserve">如有条款、产品、隐私或安全问题，请联系 </w:t>
      </w:r>
      <w:hyperlink r:id="rId16">
        <w:r>
          <w:rPr>
            <w:color w:val="234C70"/>
          </w:rPr>
          <w:t>support@dawnbloom.net</w:t>
        </w:r>
      </w:hyperlink>
      <w:r>
        <w:t>，或访问 DAWNBLOOM 官方客服中心。</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dawnbloom.net · 第 </w:t>
    </w:r>
    <w:fldSimple w:instr="PAGE"/>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Songti SC" w:hAnsi="Songti SC" w:eastAsia="Songti SC"/>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Songti SC" w:hAnsi="Songti SC" w:eastAsia="Songti SC"/>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Songti SC" w:hAnsi="Songti SC" w:eastAsia="Songti SC"/>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https://dawnbloom.com.cn" TargetMode="External"/><Relationship Id="rId13" Type="http://schemas.openxmlformats.org/officeDocument/2006/relationships/hyperlink" Target="https://dawnbloom.net/zh/" TargetMode="External"/><Relationship Id="rId14" Type="http://schemas.openxmlformats.org/officeDocument/2006/relationships/hyperlink" Target="https://dawnbloom.jp" TargetMode="External"/><Relationship Id="rId15" Type="http://schemas.openxmlformats.org/officeDocument/2006/relationships/hyperlink" Target="https://dawnbloom.net/ja/" TargetMode="External"/><Relationship Id="rId16" Type="http://schemas.openxmlformats.org/officeDocument/2006/relationships/hyperlink" Target="mailto:support@dawnbloom.net" TargetMode="External"/><Relationship Id="rId17" Type="http://schemas.openxmlformats.org/officeDocument/2006/relationships/hyperlink" Target="mailto:legal@dawnbloom.net" TargetMode="External"/><Relationship Id="rId18" Type="http://schemas.openxmlformats.org/officeDocument/2006/relationships/hyperlink" Target="mailto:security@dawnbloom.net" TargetMode="External"/><Relationship Id="rId19" Type="http://schemas.openxmlformats.org/officeDocument/2006/relationships/hyperlink" Target="mailto:contact@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光与解压服务条款</dc:title>
  <dc:subject>DAWNBLOOM 法律文件 V8 中文版</dc:subject>
  <dc:creator>上海追光智创文化传媒有限公司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