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DAWNBLOOM AI 使用条款</w:t>
      </w:r>
    </w:p>
    <w:p>
      <w:r>
        <w:t>版本：V8 · 生效与更新日期：2026年10月10日</w:t>
      </w:r>
    </w:p>
    <w:p>
      <w:pPr>
        <w:pStyle w:val="Heading1"/>
      </w:pPr>
      <w:r>
        <w:t>目录</w:t>
      </w:r>
    </w:p>
    <w:p>
      <w:hyperlink w:anchor="section_2">
        <w:r>
          <w:rPr>
            <w:color w:val="234C70"/>
          </w:rPr>
          <w:t>1. 提供主体、名称与适用范围</w:t>
        </w:r>
      </w:hyperlink>
    </w:p>
    <w:p>
      <w:hyperlink w:anchor="section_4">
        <w:r>
          <w:rPr>
            <w:color w:val="234C70"/>
          </w:rPr>
          <w:t>2. 服务内容与语言边界</w:t>
        </w:r>
      </w:hyperlink>
    </w:p>
    <w:p>
      <w:hyperlink w:anchor="section_6">
        <w:r>
          <w:rPr>
            <w:color w:val="234C70"/>
          </w:rPr>
          <w:t>3. 公开知识与受保护信息</w:t>
        </w:r>
      </w:hyperlink>
    </w:p>
    <w:p>
      <w:hyperlink w:anchor="section_8">
        <w:r>
          <w:rPr>
            <w:color w:val="234C70"/>
          </w:rPr>
          <w:t>4. Intelligent UI 与用户确认</w:t>
        </w:r>
      </w:hyperlink>
    </w:p>
    <w:p>
      <w:hyperlink w:anchor="section_10">
        <w:r>
          <w:rPr>
            <w:color w:val="234C70"/>
          </w:rPr>
          <w:t>5. 输出准确性与重要信息核实</w:t>
        </w:r>
      </w:hyperlink>
    </w:p>
    <w:p>
      <w:hyperlink w:anchor="section_12">
        <w:r>
          <w:rPr>
            <w:color w:val="234C70"/>
          </w:rPr>
          <w:t>6. 输入与输出的权利责任</w:t>
        </w:r>
      </w:hyperlink>
    </w:p>
    <w:p>
      <w:hyperlink w:anchor="section_14">
        <w:r>
          <w:rPr>
            <w:color w:val="234C70"/>
          </w:rPr>
          <w:t>7. 安全使用与禁止滥用</w:t>
        </w:r>
      </w:hyperlink>
    </w:p>
    <w:p>
      <w:hyperlink w:anchor="section_16">
        <w:r>
          <w:rPr>
            <w:color w:val="234C70"/>
          </w:rPr>
          <w:t>8. 账号资料与游戏操作</w:t>
        </w:r>
      </w:hyperlink>
    </w:p>
    <w:p>
      <w:hyperlink w:anchor="section_18">
        <w:r>
          <w:rPr>
            <w:color w:val="234C70"/>
          </w:rPr>
          <w:t>9. 未成年人</w:t>
        </w:r>
      </w:hyperlink>
    </w:p>
    <w:p>
      <w:hyperlink w:anchor="section_20">
        <w:r>
          <w:rPr>
            <w:color w:val="234C70"/>
          </w:rPr>
          <w:t>10. 第三方模型与数据处理</w:t>
        </w:r>
      </w:hyperlink>
    </w:p>
    <w:p>
      <w:hyperlink w:anchor="section_22">
        <w:r>
          <w:rPr>
            <w:color w:val="234C70"/>
          </w:rPr>
          <w:t>11. 可用性、异常与服务调整</w:t>
        </w:r>
      </w:hyperlink>
    </w:p>
    <w:p>
      <w:hyperlink w:anchor="section_24">
        <w:r>
          <w:rPr>
            <w:color w:val="234C70"/>
          </w:rPr>
          <w:t>12. 违规处理、申诉与纠错</w:t>
        </w:r>
      </w:hyperlink>
    </w:p>
    <w:p>
      <w:hyperlink w:anchor="section_26">
        <w:r>
          <w:rPr>
            <w:color w:val="234C70"/>
          </w:rPr>
          <w:t>13. 停止使用与数据权利</w:t>
        </w:r>
      </w:hyperlink>
    </w:p>
    <w:p>
      <w:hyperlink w:anchor="section_28">
        <w:r>
          <w:rPr>
            <w:color w:val="234C70"/>
          </w:rPr>
          <w:t>14. 更新、投诉与联系</w:t>
        </w:r>
      </w:hyperlink>
    </w:p>
    <w:p>
      <w:r>
        <w:br w:type="page"/>
      </w:r>
    </w:p>
    <w:p>
      <w:pPr>
        <w:pStyle w:val="Title"/>
        <w:widowControl/>
      </w:pPr>
      <w:r>
        <w:t>DAWNBLOOM AI 使用条款</w:t>
      </w:r>
    </w:p>
    <w:p>
      <w:pPr>
        <w:widowControl/>
      </w:pPr>
      <w:r>
        <w:t>版本：V8</w:t>
        <w:br/>
        <w:t>修订日期：2026年10月10日</w:t>
        <w:br/>
        <w:t>生效日期：2026年10月10日</w:t>
        <w:br/>
        <w:t>提供主体：上海追光智创文化传媒有限公司</w:t>
      </w:r>
    </w:p>
    <w:p>
      <w:bookmarkStart w:id="2" w:name="section_2"/>
      <w:pPr>
        <w:pStyle w:val="Heading1"/>
        <w:widowControl/>
      </w:pPr>
      <w:r>
        <w:t>1. 提供主体、名称与适用范围</w:t>
      </w:r>
      <w:bookmarkEnd w:id="2"/>
    </w:p>
    <w:p>
      <w:pPr>
        <w:widowControl/>
      </w:pPr>
      <w:r>
        <w:t>上海追光智创文化传媒有限公司 提供本服务。DAWNBLOOM AI 是本公司智能交互系统及技术服务品牌，光与精灵是同一服务体系面向用户的智能伙伴与交互形象。DAWNBLOOM AI 2.0 表示该智能服务体系的公开版本，不表示本公司独立训练了基础大语言模型。 本条款与 DAWNBLOOM 服务条款、隐私政策、玩家守则及其他适用政策共同适用；本条款仅处理智能服务的专属事项，不削减法定权利。</w:t>
      </w:r>
    </w:p>
    <w:p>
      <w:bookmarkStart w:id="4" w:name="section_4"/>
      <w:pPr>
        <w:pStyle w:val="Heading1"/>
        <w:widowControl/>
      </w:pPr>
      <w:r>
        <w:t>2. 服务内容与语言边界</w:t>
      </w:r>
      <w:bookmarkEnd w:id="4"/>
    </w:p>
    <w:p>
      <w:pPr>
        <w:widowControl/>
      </w:pPr>
      <w:r>
        <w:t>服务限于公开游戏及产品知识问答、自然语言文字交流、玩家服务引导，以及实际开放的 Intelligent UI 界面能力；官网语言支持不扩展游戏客户端或六款软件各自的语言范围。当前不提供图片生成或编辑、PDF、Word、幻灯片、电子表格制作及通用办公自动化。 官网版纳入 20 种官网语言体系；游戏内仍限中文、英语、日语、韩语四语。支持某种语言不代表提供该语言的人工客服或专业法律意见。</w:t>
      </w:r>
    </w:p>
    <w:p>
      <w:bookmarkStart w:id="6" w:name="section_6"/>
      <w:pPr>
        <w:pStyle w:val="Heading1"/>
        <w:widowControl/>
      </w:pPr>
      <w:r>
        <w:t>3. 公开知识与受保护信息</w:t>
      </w:r>
      <w:bookmarkEnd w:id="6"/>
    </w:p>
    <w:p>
      <w:pPr>
        <w:widowControl/>
      </w:pPr>
      <w:r>
        <w:t>知识问答限经授权公开的游戏、产品及客服资料。未公开剧情、任务、地图、概率、公式、内部策划、GM 信息、安全措施及漏洞利用资料不向用户开放。不得利用问答提取受保护资料。</w:t>
      </w:r>
    </w:p>
    <w:p>
      <w:bookmarkStart w:id="8" w:name="section_8"/>
      <w:pPr>
        <w:pStyle w:val="Heading1"/>
        <w:widowControl/>
      </w:pPr>
      <w:r>
        <w:t>4. Intelligent UI 与用户确认</w:t>
      </w:r>
      <w:bookmarkEnd w:id="8"/>
    </w:p>
    <w:p>
      <w:pPr>
        <w:widowControl/>
      </w:pPr>
      <w:r>
        <w:t>Intelligent UI 将回答与可交互资料卡片、功能入口和确认界面结合。幻兽、装备、物品、个人游戏记录及账号安全信息，仅在该功能已开放、本人合法授权、后端确认身份及相应权限的范围内提供。AI 回答、卡片或按钮出现不等于操作已经执行；敏感操作须经过正式验证、必要确认并以系统结果为准，不得绕过权限系统修改玩家数据或读取他人非公开信息。 明确标注的演示数据不是本人记录，也不证明真实查询或操作成功。</w:t>
      </w:r>
    </w:p>
    <w:p>
      <w:bookmarkStart w:id="10" w:name="section_10"/>
      <w:pPr>
        <w:pStyle w:val="Heading1"/>
        <w:widowControl/>
      </w:pPr>
      <w:r>
        <w:t>5. 输出准确性与重要信息核实</w:t>
      </w:r>
      <w:bookmarkEnd w:id="10"/>
    </w:p>
    <w:p>
      <w:pPr>
        <w:widowControl/>
      </w:pPr>
      <w:r>
        <w:t xml:space="preserve">AI 回答可能存在理解错误、遗漏或信息延迟，不替代正式公告、游戏规则、商品与退款条款、经授权核验的记录或人工复核结果。用户应独立核实重要信息，可通过 </w:t>
      </w:r>
      <w:hyperlink r:id="rId16">
        <w:r>
          <w:rPr>
            <w:color w:val="234C70"/>
          </w:rPr>
          <w:t>support@dawnbloom.net</w:t>
        </w:r>
      </w:hyperlink>
      <w:r>
        <w:t xml:space="preserve"> 反馈错误或提交申诉；AI 建议不自行改变现有用户权利或法定救济。 AI 不作法律、医疗、金融或其他专业事务的最终判断。</w:t>
      </w:r>
    </w:p>
    <w:p>
      <w:bookmarkStart w:id="12" w:name="section_12"/>
      <w:pPr>
        <w:pStyle w:val="Heading1"/>
        <w:widowControl/>
      </w:pPr>
      <w:r>
        <w:t>6. 输入与输出的权利责任</w:t>
      </w:r>
      <w:bookmarkEnd w:id="12"/>
    </w:p>
    <w:p>
      <w:pPr>
        <w:widowControl/>
      </w:pPr>
      <w:r>
        <w:t>用户须有权提供输入内容，不得提交侵害他人权利或违法的信息。用户对使用、传播输出的合法性及必要核实负责。本公司不因生成回答授予第三方作品、商标或个人资料的权利；输出依法存在的用户权利与其他法定权利不受本条款排除。</w:t>
      </w:r>
    </w:p>
    <w:p>
      <w:bookmarkStart w:id="14" w:name="section_14"/>
      <w:pPr>
        <w:pStyle w:val="Heading1"/>
        <w:widowControl/>
      </w:pPr>
      <w:r>
        <w:t>7. 安全使用与禁止滥用</w:t>
      </w:r>
      <w:bookmarkEnd w:id="14"/>
    </w:p>
    <w:p>
      <w:pPr>
        <w:widowControl/>
      </w:pPr>
      <w:r>
        <w:t>不得攻击、恶意刷取、冒用身份、绕过验证码或权限、提交恶意指令、窃取非公开内容或制造虚假官方承诺。请勿提供密码、完整一次性验证码、支付密码、令牌及其他不必要的敏感信息。</w:t>
      </w:r>
    </w:p>
    <w:p>
      <w:bookmarkStart w:id="16" w:name="section_16"/>
      <w:pPr>
        <w:pStyle w:val="Heading1"/>
        <w:widowControl/>
      </w:pPr>
      <w:r>
        <w:t>8. 账号资料与游戏操作</w:t>
      </w:r>
      <w:bookmarkEnd w:id="16"/>
    </w:p>
    <w:p>
      <w:pPr>
        <w:widowControl/>
      </w:pPr>
      <w:r>
        <w:t>个人幻兽、装备、物品、资产和记录只能在本人合法授权与后端验证的范围内查看。AI 不取得 GM 权限，不直接改变资产、处罚或正式玩法；恢复、争议与申诉由正式流程核验。</w:t>
      </w:r>
    </w:p>
    <w:p>
      <w:bookmarkStart w:id="18" w:name="section_18"/>
      <w:pPr>
        <w:pStyle w:val="Heading1"/>
        <w:widowControl/>
      </w:pPr>
      <w:r>
        <w:t>9. 未成年人</w:t>
      </w:r>
      <w:bookmarkEnd w:id="18"/>
    </w:p>
    <w:p>
      <w:pPr>
        <w:widowControl/>
      </w:pPr>
      <w:r>
        <w:t>账号及游戏服务沿用现有年满 18 周岁的资格要求，不因 AI 服务而放宽。公开资料访问不等于允许注册或使用游戏账号。涉及未成年人信息时遵循适用保护要求，不以 AI 对话替代依法需要的监护人同意或核实。</w:t>
      </w:r>
    </w:p>
    <w:p>
      <w:bookmarkStart w:id="20" w:name="section_20"/>
      <w:pPr>
        <w:pStyle w:val="Heading1"/>
        <w:widowControl/>
      </w:pPr>
      <w:r>
        <w:t>10. 第三方模型与数据处理</w:t>
      </w:r>
      <w:bookmarkEnd w:id="20"/>
    </w:p>
    <w:p>
      <w:pPr>
        <w:widowControl/>
      </w:pPr>
      <w:r>
        <w:t>技术接入采用阿里云百炼（Alibaba Cloud Model Studio）的通义千问（Qwen）能力；模型接入使用日本东京区域端点。端点所在区域不代表全部用户数据只在日本处理，也不替代对实际服务协议、服务商日志、训练控制、留存设置及跨境义务的核验。OpenAI Codex 参与知识体系建设、功能开发、交互设计与持续优化，不因此自动获得用户聊天数据，也不表示其训练了 Qwen 基础模型。 具体输入、上下文、服务日志、留存及训练控制以现行《DAWNBLOOM 隐私政策》、适用的具体告知和实际服务协议为准。AI 专属隐私说明仍在核验，不以本条款代替数据处理事实的确认。未经完成必要告知、授权与安全验证，不开放相应模型或个人资料处理。</w:t>
      </w:r>
    </w:p>
    <w:p>
      <w:bookmarkStart w:id="22" w:name="section_22"/>
      <w:pPr>
        <w:pStyle w:val="Heading1"/>
        <w:widowControl/>
      </w:pPr>
      <w:r>
        <w:t>11. 可用性、异常与服务调整</w:t>
      </w:r>
      <w:bookmarkEnd w:id="22"/>
    </w:p>
    <w:p>
      <w:pPr>
        <w:widowControl/>
      </w:pPr>
      <w:r>
        <w:t>实际功能以已开放入口及正式服务状态为准。维护、故障、安全事件、容量或供应商异常可能限制部分服务；我们按必要程度处理并通过适当渠道告知重大变化。停止模型请求不等于注销账号，既有购买权益与法定救济不因 AI 功能限制而当然失效。</w:t>
      </w:r>
    </w:p>
    <w:p>
      <w:bookmarkStart w:id="24" w:name="section_24"/>
      <w:pPr>
        <w:pStyle w:val="Heading1"/>
        <w:widowControl/>
      </w:pPr>
      <w:r>
        <w:t>12. 违规处理、申诉与纠错</w:t>
      </w:r>
      <w:bookmarkEnd w:id="24"/>
    </w:p>
    <w:p>
      <w:pPr>
        <w:widowControl/>
      </w:pPr>
      <w:r>
        <w:t>可根据实际风险采取限流、暂停相关智能功能或适用玩家守则中的措施，并提供正式申诉渠道。用户可提交具体回答、问题时间及必要核实资料请求纠错；请遮盖无关个人信息。AI 回答不自行构成处罚裁定。</w:t>
      </w:r>
    </w:p>
    <w:p>
      <w:bookmarkStart w:id="26" w:name="section_26"/>
      <w:pPr>
        <w:pStyle w:val="Heading1"/>
        <w:widowControl/>
      </w:pPr>
      <w:r>
        <w:t>13. 停止使用与数据权利</w:t>
      </w:r>
      <w:bookmarkEnd w:id="26"/>
    </w:p>
    <w:p>
      <w:pPr>
        <w:widowControl/>
      </w:pPr>
      <w:r>
        <w:t xml:space="preserve">用户可停止聊天、撤回依法可撤回的同意、清除本地聊天记录，并通过 </w:t>
      </w:r>
      <w:hyperlink r:id="rId17">
        <w:r>
          <w:rPr>
            <w:color w:val="234C70"/>
          </w:rPr>
          <w:t>legal@dawnbloom.net</w:t>
        </w:r>
      </w:hyperlink>
      <w:r>
        <w:t xml:space="preserve"> 或正式客服提出查询、更正、删除、限制处理及投诉请求。清除本地记录不会自动删除依法保留的服务日志、业务工单或第三方记录；后续处理按实际数据类别、法定义务、安全及未结争议需要进行，不影响既有权利。 停止使用不会使既有投诉、退款、隐私请求或法定救济失效。</w:t>
      </w:r>
    </w:p>
    <w:p>
      <w:bookmarkStart w:id="28" w:name="section_28"/>
      <w:pPr>
        <w:pStyle w:val="Heading1"/>
        <w:widowControl/>
      </w:pPr>
      <w:r>
        <w:t>14. 更新、投诉与联系</w:t>
      </w:r>
      <w:bookmarkEnd w:id="28"/>
    </w:p>
    <w:p>
      <w:pPr>
        <w:widowControl/>
      </w:pPr>
      <w:r>
        <w:t>重大条款或处理变化按适用法律告知并办理必要程序，不追溯削减已成立的法定权利。法律与数据权利：</w:t>
      </w:r>
      <w:hyperlink r:id="rId17">
        <w:r>
          <w:rPr>
            <w:color w:val="234C70"/>
          </w:rPr>
          <w:t>legal@dawnbloom.net</w:t>
        </w:r>
      </w:hyperlink>
      <w:r>
        <w:t>；客服与纠错：</w:t>
      </w:r>
      <w:hyperlink r:id="rId16">
        <w:r>
          <w:rPr>
            <w:color w:val="234C70"/>
          </w:rPr>
          <w:t>support@dawnbloom.net</w:t>
        </w:r>
      </w:hyperlink>
      <w:r>
        <w:t>；安全事件：</w:t>
      </w:r>
      <w:hyperlink r:id="rId18">
        <w:r>
          <w:rPr>
            <w:color w:val="234C70"/>
          </w:rPr>
          <w:t>security@dawnbloom.net</w:t>
        </w:r>
      </w:hyperlink>
      <w:r>
        <w:t>。法定联系地址沿用正式法律信息。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dawnbloom.net ·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ongti SC" w:hAnsi="Songti SC" w:eastAsia="Song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https://dawnbloom.com.cn" TargetMode="External"/><Relationship Id="rId13" Type="http://schemas.openxmlformats.org/officeDocument/2006/relationships/hyperlink" Target="https://dawnbloom.net/zh/" TargetMode="External"/><Relationship Id="rId14" Type="http://schemas.openxmlformats.org/officeDocument/2006/relationships/hyperlink" Target="https://dawnbloom.jp" TargetMode="External"/><Relationship Id="rId15" Type="http://schemas.openxmlformats.org/officeDocument/2006/relationships/hyperlink" Target="https://dawnbloom.net/ja/" TargetMode="External"/><Relationship Id="rId16" Type="http://schemas.openxmlformats.org/officeDocument/2006/relationships/hyperlink" Target="mailto:support@dawnbloom.net" TargetMode="External"/><Relationship Id="rId17" Type="http://schemas.openxmlformats.org/officeDocument/2006/relationships/hyperlink" Target="mailto:legal@dawnbloom.net" TargetMode="External"/><Relationship Id="rId18" Type="http://schemas.openxmlformats.org/officeDocument/2006/relationships/hyperlink" Target="mailto:security@dawnbloom.net" TargetMode="External"/><Relationship Id="rId19" Type="http://schemas.openxmlformats.org/officeDocument/2006/relationships/hyperlink" Target="mailto:contact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AI 使用条款</dc:title>
  <dc:subject>DAWNBLOOM 法律文件 V8 中文版</dc:subject>
  <dc:creator>上海追光智创文化传媒有限公司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