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銷售與退款條款</w:t>
      </w:r>
    </w:p>
    <w:p>
      <w:pPr>
        <w:keepLines w:val="0"/>
      </w:pPr>
      <w:r>
        <w:rPr>
          <w:rFonts w:ascii="Arial Unicode MS" w:hAnsi="Arial Unicode MS" w:eastAsia="Arial Unicode MS" w:cs="Noto Sans TC"/>
          <w:b w:val="0"/>
        </w:rPr>
        <w:t>銷售與退款條款 · 官方版本</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更新日期：2026年10月10日</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適用範圍：DAWNBLOOM 官網商城及相關官方銷售管道；第三方平台訂單依相應平台規則銜接。官網支付功能以實際開放情況為準。</w:t>
      </w:r>
    </w:p>
    <w:p>
      <w:pPr>
        <w:pStyle w:val="Heading1"/>
        <w:keepLines w:val="0"/>
      </w:pPr>
      <w:r>
        <w:rPr>
          <w:rFonts w:ascii="Arial Unicode MS" w:hAnsi="Arial Unicode MS" w:eastAsia="Arial Unicode MS" w:cs="Noto Sans TC"/>
          <w:b w:val="0"/>
        </w:rPr>
        <w:t>已發布資訊與文件的關係</w:t>
      </w:r>
    </w:p>
    <w:p>
      <w:pPr>
        <w:keepLines w:val="0"/>
      </w:pPr>
      <w:r>
        <w:rPr>
          <w:rFonts w:ascii="Arial Unicode MS" w:hAnsi="Arial Unicode MS" w:eastAsia="Arial Unicode MS" w:cs="Noto Sans TC"/>
          <w:b w:val="0"/>
        </w:rPr>
        <w:t>賣家/運營商：上海追光智創文化传媒有限公司（英文公開名稱：SHANGHAI LUMIREALM CREATIVE MEDIA CO., LTD.）</w:t>
      </w:r>
    </w:p>
    <w:p>
      <w:pPr>
        <w:keepLines w:val="0"/>
      </w:pPr>
      <w:r>
        <w:rPr>
          <w:rFonts w:ascii="Arial Unicode MS" w:hAnsi="Arial Unicode MS" w:eastAsia="Arial Unicode MS" w:cs="Noto Sans TC"/>
          <w:b w:val="0"/>
        </w:rPr>
        <w:t xml:space="preserve">官方網站：</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 xml:space="preserve">退款與訂單客服：</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Noto Sans TC"/>
          <w:b w:val="0"/>
        </w:rPr>
        <w:t>本條款與《網站條款》、《DAWNBLOOM Community條款》、隱私權政策、《玩家規則》以及具體產品頁面共同適用。產品內容、概率、交付、促銷和限制由購買時清晰顯示的信息管轄。法定消費者權利不受影響。</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購買與退款指南</w:t>
            </w:r>
          </w:p>
        </w:tc>
        <w:tc>
          <w:tcPr>
            <w:tcW w:type="dxa" w:w="4873"/>
            <w:vAlign w:val="center"/>
            <w:shd w:fill="DCE8F7"/>
          </w:tcPr>
          <w:p>
            <w:pPr>
              <w:keepNext/>
              <w:spacing w:after="40"/>
            </w:pPr>
            <w:r>
              <w:rPr>
                <w:rFonts w:ascii="Arial Unicode MS" w:hAnsi="Arial Unicode MS" w:eastAsia="Arial Unicode MS" w:cs="Noto Sans TC"/>
                <w:b/>
                <w:sz w:val="17"/>
              </w:rPr>
              <w:t>規則</w:t>
            </w:r>
          </w:p>
        </w:tc>
      </w:tr>
      <w:tr>
        <w:trPr>
          <w:cantSplit/>
        </w:trPr>
        <w:tc>
          <w:tcPr>
            <w:tcW w:type="dxa" w:w="4873"/>
            <w:vAlign w:val="center"/>
          </w:tcPr>
          <w:p>
            <w:pPr>
              <w:spacing w:after="40"/>
            </w:pPr>
            <w:r>
              <w:rPr>
                <w:rFonts w:ascii="Arial Unicode MS" w:hAnsi="Arial Unicode MS" w:eastAsia="Arial Unicode MS" w:cs="Noto Sans TC"/>
                <w:sz w:val="17"/>
              </w:rPr>
              <w:t>網站產品</w:t>
            </w:r>
          </w:p>
        </w:tc>
        <w:tc>
          <w:tcPr>
            <w:tcW w:type="dxa" w:w="4873"/>
            <w:vAlign w:val="center"/>
          </w:tcPr>
          <w:p>
            <w:pPr>
              <w:spacing w:after="40"/>
            </w:pPr>
            <w:r>
              <w:rPr>
                <w:rFonts w:ascii="Arial Unicode MS" w:hAnsi="Arial Unicode MS" w:eastAsia="Arial Unicode MS" w:cs="Noto Sans TC"/>
                <w:sz w:val="17"/>
              </w:rPr>
              <w:t>人民幣基礎；每日美元/日元匯率轉換，並在確認時鎖定產品價格。</w:t>
            </w:r>
          </w:p>
        </w:tc>
      </w:tr>
      <w:tr>
        <w:trPr>
          <w:cantSplit/>
        </w:trPr>
        <w:tc>
          <w:tcPr>
            <w:tcW w:type="dxa" w:w="4873"/>
            <w:vAlign w:val="center"/>
          </w:tcPr>
          <w:p>
            <w:pPr>
              <w:spacing w:after="40"/>
            </w:pPr>
            <w:r>
              <w:rPr>
                <w:rFonts w:ascii="Arial Unicode MS" w:hAnsi="Arial Unicode MS" w:eastAsia="Arial Unicode MS" w:cs="Noto Sans TC"/>
                <w:sz w:val="17"/>
              </w:rPr>
              <w:t>網站退款</w:t>
            </w:r>
          </w:p>
        </w:tc>
        <w:tc>
          <w:tcPr>
            <w:tcW w:type="dxa" w:w="4873"/>
            <w:vAlign w:val="center"/>
          </w:tcPr>
          <w:p>
            <w:pPr>
              <w:spacing w:after="40"/>
            </w:pPr>
            <w:r>
              <w:rPr>
                <w:rFonts w:ascii="Arial Unicode MS" w:hAnsi="Arial Unicode MS" w:eastAsia="Arial Unicode MS" w:cs="Noto Sans TC"/>
                <w:sz w:val="17"/>
              </w:rPr>
              <w:t>原路退回，貨幣與實際支付金額一致；不進行退款日的匯率重定價。</w:t>
            </w:r>
          </w:p>
        </w:tc>
      </w:tr>
      <w:tr>
        <w:trPr>
          <w:cantSplit/>
        </w:trPr>
        <w:tc>
          <w:tcPr>
            <w:tcW w:type="dxa" w:w="4873"/>
            <w:vAlign w:val="center"/>
          </w:tcPr>
          <w:p>
            <w:pPr>
              <w:spacing w:after="40"/>
            </w:pPr>
            <w:r>
              <w:rPr>
                <w:rFonts w:ascii="Arial Unicode MS" w:hAnsi="Arial Unicode MS" w:eastAsia="Arial Unicode MS" w:cs="Noto Sans TC"/>
                <w:sz w:val="17"/>
              </w:rPr>
              <w:t>第三方平台</w:t>
            </w:r>
          </w:p>
        </w:tc>
        <w:tc>
          <w:tcPr>
            <w:tcW w:type="dxa" w:w="4873"/>
            <w:vAlign w:val="center"/>
          </w:tcPr>
          <w:p>
            <w:pPr>
              <w:spacing w:after="40"/>
            </w:pPr>
            <w:r>
              <w:rPr>
                <w:rFonts w:ascii="Arial Unicode MS" w:hAnsi="Arial Unicode MS" w:eastAsia="Arial Unicode MS" w:cs="Noto Sans TC"/>
                <w:sz w:val="17"/>
              </w:rPr>
              <w:t>其付款與退款規則及適用法律管轄。</w:t>
            </w:r>
          </w:p>
        </w:tc>
      </w:tr>
      <w:tr>
        <w:trPr>
          <w:cantSplit/>
        </w:trPr>
        <w:tc>
          <w:tcPr>
            <w:tcW w:type="dxa" w:w="4873"/>
            <w:vAlign w:val="center"/>
          </w:tcPr>
          <w:p>
            <w:pPr>
              <w:spacing w:after="40"/>
            </w:pPr>
            <w:r>
              <w:rPr>
                <w:rFonts w:ascii="Arial Unicode MS" w:hAnsi="Arial Unicode MS" w:eastAsia="Arial Unicode MS" w:cs="Noto Sans TC"/>
                <w:sz w:val="17"/>
              </w:rPr>
              <w:t>未成年人</w:t>
            </w:r>
          </w:p>
        </w:tc>
        <w:tc>
          <w:tcPr>
            <w:tcW w:type="dxa" w:w="4873"/>
            <w:vAlign w:val="center"/>
          </w:tcPr>
          <w:p>
            <w:pPr>
              <w:spacing w:after="40"/>
            </w:pPr>
            <w:r>
              <w:rPr>
                <w:rFonts w:ascii="Arial Unicode MS" w:hAnsi="Arial Unicode MS" w:eastAsia="Arial Unicode MS" w:cs="Noto Sans TC"/>
                <w:sz w:val="17"/>
              </w:rPr>
              <w:t>在經過驗證且完成全部或實質性全額退款後，僅相關的遊戲帳戶將被永久限制；人類糾正機制可供使用。</w:t>
            </w:r>
          </w:p>
        </w:tc>
      </w:tr>
    </w:tbl>
    <w:p>
      <w:pPr>
        <w:spacing w:after="40"/>
      </w:pPr>
    </w:p>
    <w:p>
      <w:pPr>
        <w:pStyle w:val="Heading1"/>
        <w:keepLines w:val="0"/>
      </w:pPr>
      <w:r>
        <w:rPr>
          <w:rFonts w:ascii="Arial Unicode MS" w:hAnsi="Arial Unicode MS" w:eastAsia="Arial Unicode MS" w:cs="Noto Sans TC"/>
          <w:b w:val="0"/>
        </w:rPr>
        <w:t>退款摘要簡述</w:t>
      </w:r>
    </w:p>
    <w:p>
      <w:pPr>
        <w:pStyle w:val="ListBullet"/>
        <w:keepLines w:val="0"/>
      </w:pPr>
      <w:r>
        <w:rPr>
          <w:rFonts w:ascii="Arial Unicode MS" w:hAnsi="Arial Unicode MS" w:eastAsia="Arial Unicode MS" w:cs="Noto Sans TC"/>
          <w:b w:val="0"/>
        </w:rPr>
        <w:t>網站產品以新台幣（CNY）為基礎定價。美元（USD）與日圓（JPY）價格係根據適用之每日參考匯率快照計算得出。一旦網站結帳功能開放，訂單確認時即鎖定所顯示的產品幣別與金額。</w:t>
      </w:r>
    </w:p>
    <w:p>
      <w:pPr>
        <w:pStyle w:val="ListBullet"/>
        <w:keepLines w:val="0"/>
      </w:pPr>
      <w:r>
        <w:rPr>
          <w:rFonts w:ascii="Arial Unicode MS" w:hAnsi="Arial Unicode MS" w:eastAsia="Arial Unicode MS" w:cs="Noto Sans TC"/>
          <w:b w:val="0"/>
        </w:rPr>
        <w:t>若發生重複扣款、未入帳、誤送、明顯技術故障或貨物與公開披露資訊不符等情況，將優先進行調查，並提供更換、維修、退款或其他適當補償等適當補救措施。</w:t>
      </w:r>
    </w:p>
    <w:p>
      <w:pPr>
        <w:pStyle w:val="ListBullet"/>
        <w:keepLines w:val="0"/>
      </w:pPr>
      <w:r>
        <w:rPr>
          <w:rFonts w:ascii="Arial Unicode MS" w:hAnsi="Arial Unicode MS" w:eastAsia="Arial Unicode MS" w:cs="Noto Sans TC"/>
          <w:b w:val="0"/>
        </w:rPr>
        <w:t>已啟用、消耗、轉讓、交換或隨機結果已產生的數位商品，原則上因「購買後悔」或「對隨機結果不滿」而無法申請自願退款；但適用法律另有規定者除外。</w:t>
      </w:r>
    </w:p>
    <w:p>
      <w:pPr>
        <w:pStyle w:val="ListBullet"/>
        <w:keepLines w:val="0"/>
      </w:pPr>
      <w:r>
        <w:rPr>
          <w:rFonts w:ascii="Arial Unicode MS" w:hAnsi="Arial Unicode MS" w:eastAsia="Arial Unicode MS" w:cs="Noto Sans TC"/>
          <w:b w:val="0"/>
        </w:rPr>
        <w:t>透過 Apple App Store、Steam 及未來如 Google Play 等平台下達的訂單，在可能情況下應遵循各平台之退款程序。DAWNBLOOM 將在必要時協助驗證訂單與交付狀態。</w:t>
      </w:r>
    </w:p>
    <w:p>
      <w:pPr>
        <w:pStyle w:val="ListBullet"/>
        <w:keepLines w:val="0"/>
      </w:pPr>
      <w:r>
        <w:rPr>
          <w:rFonts w:ascii="Arial Unicode MS" w:hAnsi="Arial Unicode MS" w:eastAsia="Arial Unicode MS" w:cs="Noto Sans TC"/>
          <w:b w:val="0"/>
        </w:rPr>
        <w:t>官方網站使用 Apple Pay 僅為付款方式，不等於 App Store 內的應用程式內購買。透過 dawnbloom.net 使用 Apple Pay 下達的訂單視為官方網站訂單。</w:t>
      </w:r>
    </w:p>
    <w:p>
      <w:pPr>
        <w:pStyle w:val="ListBullet"/>
        <w:keepLines w:val="0"/>
      </w:pPr>
      <w:r>
        <w:rPr>
          <w:rFonts w:ascii="Arial Unicode MS" w:hAnsi="Arial Unicode MS" w:eastAsia="Arial Unicode MS" w:cs="Noto Sans TC"/>
          <w:b w:val="0"/>
        </w:rPr>
        <w:t>本服務適用於年滿 18 歲的成年人。未成年人購買申訴將依據適用法律、證據及平台規則進行審查，無固定 70% 上限。經核實之未成年人購買案件，在獲得核准的全額或實質全額退款且實際完成後，相關遊戲帳號將永久限制正常遊戲服務；錯誤決定可由授權人工審核予以更正。</w:t>
      </w:r>
    </w:p>
    <w:p>
      <w:pPr>
        <w:pStyle w:val="ListBullet"/>
        <w:keepLines w:val="0"/>
      </w:pPr>
      <w:r>
        <w:rPr>
          <w:rFonts w:ascii="Arial Unicode MS" w:hAnsi="Arial Unicode MS" w:eastAsia="Arial Unicode MS" w:cs="Noto Sans TC"/>
          <w:b w:val="0"/>
        </w:rPr>
        <w:t>與已完成退款相關的數位權利可能被撤銷。一般退款和善意爭議本身不會觸發針對未成年人的特定遊戲限制。該限制不會降低依法批准的退款金額，也不會自動停用整個 DAWNBLOOM 帳號。</w:t>
      </w:r>
    </w:p>
    <w:p>
      <w:pPr>
        <w:pStyle w:val="ListBullet"/>
        <w:keepLines w:val="0"/>
      </w:pPr>
      <w:r>
        <w:rPr>
          <w:rFonts w:ascii="Arial Unicode MS" w:hAnsi="Arial Unicode MS" w:eastAsia="Arial Unicode MS" w:cs="Noto Sans TC"/>
          <w:b w:val="0"/>
        </w:rPr>
        <w:t>隨機類型商品的機率、獎池及版本資訊必須在購買前明確披露；中國大陸地區隨機類型商品的具體銷售機制必須在正式推出前通過專門的合規審查。</w:t>
      </w:r>
    </w:p>
    <w:p>
      <w:pPr>
        <w:pStyle w:val="Heading1"/>
        <w:keepLines w:val="0"/>
      </w:pPr>
      <w:r>
        <w:rPr>
          <w:rFonts w:ascii="Arial Unicode MS" w:hAnsi="Arial Unicode MS" w:eastAsia="Arial Unicode MS" w:cs="Noto Sans TC"/>
          <w:b w:val="0"/>
        </w:rPr>
        <w:t>1. 適用範圍與購買資格</w:t>
      </w:r>
    </w:p>
    <w:p>
      <w:pPr>
        <w:keepLines w:val="0"/>
      </w:pPr>
      <w:r>
        <w:rPr>
          <w:rFonts w:ascii="Arial Unicode MS" w:hAnsi="Arial Unicode MS" w:eastAsia="Arial Unicode MS" w:cs="Noto Sans TC"/>
          <w:b w:val="0"/>
        </w:rPr>
        <w:t>本條款規範透過 DAWNBLOOM 網站商店購買之數位商品。由 Apple App Store、Steam、Google Play 或其他平台定價、收費或退費之購買案，應遵循該平台之規則及適用法律，而非本網站之外匯即時報價或報價系統。本網站之付款方式可用性顯示於實際結帳頁面。</w:t>
      </w:r>
    </w:p>
    <w:p>
      <w:pPr>
        <w:keepLines w:val="0"/>
      </w:pPr>
      <w:r>
        <w:rPr>
          <w:rFonts w:ascii="Arial Unicode MS" w:hAnsi="Arial Unicode MS" w:eastAsia="Arial Unicode MS" w:cs="Noto Sans TC"/>
          <w:b w:val="0"/>
        </w:rPr>
        <w:t>六款應用程式納入產品範圍，並不表示每款皆可購買或訂閱。若未來提供付費軟體或應用內項目，銷售頁面將於購買前說明價格、交付方式、取消政策及退費規定。目前遊戲虛擬物品規則不自動適用於軟體購買。</w:t>
      </w:r>
    </w:p>
    <w:p>
      <w:pPr>
        <w:keepLines w:val="0"/>
      </w:pPr>
      <w:r>
        <w:rPr>
          <w:rFonts w:ascii="Arial Unicode MS" w:hAnsi="Arial Unicode MS" w:eastAsia="Arial Unicode MS" w:cs="Noto Sans TC"/>
          <w:b w:val="0"/>
        </w:rPr>
        <w:t>DAWNBLOOM 服務目前僅限年滿 18 歲之使用者使用。下單前，使用者必須確保其具有訂立契約之法律行為能力並使用相關付款方式，且確認購買行為係經本人或付款工具之合法授權持有人授權。</w:t>
      </w:r>
    </w:p>
    <w:p>
      <w:pPr>
        <w:keepLines w:val="0"/>
      </w:pPr>
      <w:r>
        <w:rPr>
          <w:rFonts w:ascii="Arial Unicode MS" w:hAnsi="Arial Unicode MS" w:eastAsia="Arial Unicode MS" w:cs="Noto Sans TC"/>
          <w:b w:val="0"/>
        </w:rPr>
        <w:t>透過第三方平台進行之使用者購買，受該等平台之服務條款、開發者指南、退費政策及適用當地法律規範。若平台規則賦予使用者更有利且不可排除之退費權利，則適用該等規則與法律。</w:t>
      </w:r>
    </w:p>
    <w:p>
      <w:pPr>
        <w:pStyle w:val="Heading1"/>
        <w:keepLines w:val="0"/>
      </w:pPr>
      <w:r>
        <w:rPr>
          <w:rFonts w:ascii="Arial Unicode MS" w:hAnsi="Arial Unicode MS" w:eastAsia="Arial Unicode MS" w:cs="Noto Sans TC"/>
          <w:b w:val="0"/>
        </w:rPr>
        <w:t>2. 數位商品、定價與付款方式</w:t>
      </w:r>
    </w:p>
    <w:p>
      <w:pPr>
        <w:pStyle w:val="Heading1"/>
        <w:keepLines w:val="0"/>
      </w:pPr>
      <w:r>
        <w:rPr>
          <w:rFonts w:ascii="Arial Unicode MS" w:hAnsi="Arial Unicode MS" w:eastAsia="Arial Unicode MS" w:cs="Noto Sans TC"/>
          <w:b w:val="0"/>
        </w:rPr>
        <w:t>2.1 商品類型</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產品類別</w:t>
            </w:r>
          </w:p>
        </w:tc>
        <w:tc>
          <w:tcPr>
            <w:tcW w:type="dxa" w:w="3249"/>
            <w:vAlign w:val="center"/>
            <w:shd w:fill="DCE8F7"/>
          </w:tcPr>
          <w:p>
            <w:pPr>
              <w:keepNext/>
              <w:spacing w:after="40"/>
            </w:pPr>
            <w:r>
              <w:rPr>
                <w:rFonts w:ascii="Arial Unicode MS" w:hAnsi="Arial Unicode MS" w:eastAsia="Arial Unicode MS" w:cs="Noto Sans TC"/>
                <w:b/>
                <w:sz w:val="17"/>
              </w:rPr>
              <w:t>購買前揭露要求</w:t>
            </w:r>
          </w:p>
        </w:tc>
        <w:tc>
          <w:tcPr>
            <w:tcW w:type="dxa" w:w="3249"/>
            <w:vAlign w:val="center"/>
            <w:shd w:fill="DCE8F7"/>
          </w:tcPr>
          <w:p>
            <w:pPr>
              <w:keepNext/>
              <w:spacing w:after="40"/>
            </w:pPr>
            <w:r>
              <w:rPr>
                <w:rFonts w:ascii="Arial Unicode MS" w:hAnsi="Arial Unicode MS" w:eastAsia="Arial Unicode MS" w:cs="Noto Sans TC"/>
                <w:b/>
                <w:sz w:val="17"/>
              </w:rPr>
              <w:t>交付特性</w:t>
            </w:r>
          </w:p>
        </w:tc>
      </w:tr>
      <w:tr>
        <w:trPr>
          <w:cantSplit/>
        </w:trPr>
        <w:tc>
          <w:tcPr>
            <w:tcW w:type="dxa" w:w="3249"/>
            <w:vAlign w:val="center"/>
          </w:tcPr>
          <w:p>
            <w:pPr>
              <w:spacing w:after="40"/>
            </w:pPr>
            <w:r>
              <w:rPr>
                <w:rFonts w:ascii="Arial Unicode MS" w:hAnsi="Arial Unicode MS" w:eastAsia="Arial Unicode MS" w:cs="Noto Sans TC"/>
                <w:sz w:val="17"/>
              </w:rPr>
              <w:t>固定內容寶箱</w:t>
            </w:r>
          </w:p>
        </w:tc>
        <w:tc>
          <w:tcPr>
            <w:tcW w:type="dxa" w:w="3249"/>
            <w:vAlign w:val="center"/>
          </w:tcPr>
          <w:p>
            <w:pPr>
              <w:spacing w:after="40"/>
            </w:pPr>
            <w:r>
              <w:rPr>
                <w:rFonts w:ascii="Arial Unicode MS" w:hAnsi="Arial Unicode MS" w:eastAsia="Arial Unicode MS" w:cs="Noto Sans TC"/>
                <w:sz w:val="17"/>
              </w:rPr>
              <w:t>價格、完整內容、數量、使用/交易限制及有效期限（如適用）</w:t>
            </w:r>
          </w:p>
        </w:tc>
        <w:tc>
          <w:tcPr>
            <w:tcW w:type="dxa" w:w="3249"/>
            <w:vAlign w:val="center"/>
          </w:tcPr>
          <w:p>
            <w:pPr>
              <w:spacing w:after="40"/>
            </w:pPr>
            <w:r>
              <w:rPr>
                <w:rFonts w:ascii="Arial Unicode MS" w:hAnsi="Arial Unicode MS" w:eastAsia="Arial Unicode MS" w:cs="Noto Sans TC"/>
                <w:sz w:val="17"/>
              </w:rPr>
              <w:t>付款確認後，內容將交付至對應遊戲帳號；內容為非隨機。</w:t>
            </w:r>
          </w:p>
        </w:tc>
      </w:tr>
      <w:tr>
        <w:trPr>
          <w:cantSplit/>
        </w:trPr>
        <w:tc>
          <w:tcPr>
            <w:tcW w:type="dxa" w:w="3249"/>
            <w:vAlign w:val="center"/>
          </w:tcPr>
          <w:p>
            <w:pPr>
              <w:spacing w:after="40"/>
            </w:pPr>
            <w:r>
              <w:rPr>
                <w:rFonts w:ascii="Arial Unicode MS" w:hAnsi="Arial Unicode MS" w:eastAsia="Arial Unicode MS" w:cs="Noto Sans TC"/>
                <w:sz w:val="17"/>
              </w:rPr>
              <w:t>隨機寶箱</w:t>
            </w:r>
          </w:p>
        </w:tc>
        <w:tc>
          <w:tcPr>
            <w:tcW w:type="dxa" w:w="3249"/>
            <w:vAlign w:val="center"/>
          </w:tcPr>
          <w:p>
            <w:pPr>
              <w:spacing w:after="40"/>
            </w:pPr>
            <w:r>
              <w:rPr>
                <w:rFonts w:ascii="Arial Unicode MS" w:hAnsi="Arial Unicode MS" w:eastAsia="Arial Unicode MS" w:cs="Noto Sans TC"/>
                <w:sz w:val="17"/>
              </w:rPr>
              <w:t>價格、可能物品範圍、機率規則或規範、數量或稀有度、版本號碼/生效日期、限制條件</w:t>
            </w:r>
          </w:p>
        </w:tc>
        <w:tc>
          <w:tcPr>
            <w:tcW w:type="dxa" w:w="3249"/>
            <w:vAlign w:val="center"/>
          </w:tcPr>
          <w:p>
            <w:pPr>
              <w:spacing w:after="40"/>
            </w:pPr>
            <w:r>
              <w:rPr>
                <w:rFonts w:ascii="Arial Unicode MS" w:hAnsi="Arial Unicode MS" w:eastAsia="Arial Unicode MS" w:cs="Noto Sans TC"/>
                <w:sz w:val="17"/>
              </w:rPr>
              <w:t>付款確認後，寶箱將發放至對應遊戲帳號；開啟時，隨機結果將依據開啟時公開披露之規則產生。</w:t>
            </w:r>
          </w:p>
        </w:tc>
      </w:tr>
      <w:tr>
        <w:trPr>
          <w:cantSplit/>
        </w:trPr>
        <w:tc>
          <w:tcPr>
            <w:tcW w:type="dxa" w:w="3249"/>
            <w:vAlign w:val="center"/>
          </w:tcPr>
          <w:p>
            <w:pPr>
              <w:spacing w:after="40"/>
            </w:pPr>
            <w:r>
              <w:rPr>
                <w:rFonts w:ascii="Arial Unicode MS" w:hAnsi="Arial Unicode MS" w:eastAsia="Arial Unicode MS" w:cs="Noto Sans TC"/>
                <w:sz w:val="17"/>
              </w:rPr>
              <w:t>未來數位商品</w:t>
            </w:r>
          </w:p>
        </w:tc>
        <w:tc>
          <w:tcPr>
            <w:tcW w:type="dxa" w:w="3249"/>
            <w:vAlign w:val="center"/>
          </w:tcPr>
          <w:p>
            <w:pPr>
              <w:spacing w:after="40"/>
            </w:pPr>
            <w:r>
              <w:rPr>
                <w:rFonts w:ascii="Arial Unicode MS" w:hAnsi="Arial Unicode MS" w:eastAsia="Arial Unicode MS" w:cs="Noto Sans TC"/>
                <w:sz w:val="17"/>
              </w:rPr>
              <w:t>價格、內容、交付及退費之具體條件將根據商品性質定義。</w:t>
            </w:r>
          </w:p>
        </w:tc>
        <w:tc>
          <w:tcPr>
            <w:tcW w:type="dxa" w:w="3249"/>
            <w:vAlign w:val="center"/>
          </w:tcPr>
          <w:p>
            <w:pPr>
              <w:spacing w:after="40"/>
            </w:pPr>
            <w:r>
              <w:rPr>
                <w:rFonts w:ascii="Arial Unicode MS" w:hAnsi="Arial Unicode MS" w:eastAsia="Arial Unicode MS" w:cs="Noto Sans TC"/>
                <w:sz w:val="17"/>
              </w:rPr>
              <w:t>購買頁面與本條款將予以規範。</w:t>
            </w:r>
          </w:p>
        </w:tc>
      </w:tr>
    </w:tbl>
    <w:p>
      <w:pPr>
        <w:spacing w:after="40"/>
      </w:pPr>
    </w:p>
    <w:p>
      <w:pPr>
        <w:pStyle w:val="Heading1"/>
        <w:keepLines w:val="0"/>
      </w:pPr>
      <w:r>
        <w:rPr>
          <w:rFonts w:ascii="Arial Unicode MS" w:hAnsi="Arial Unicode MS" w:eastAsia="Arial Unicode MS" w:cs="Noto Sans TC"/>
          <w:b w:val="0"/>
        </w:rPr>
        <w:t>2.2 付款方式</w:t>
      </w:r>
    </w:p>
    <w:p>
      <w:pPr>
        <w:keepLines w:val="0"/>
      </w:pPr>
      <w:r>
        <w:rPr>
          <w:rFonts w:ascii="Arial Unicode MS" w:hAnsi="Arial Unicode MS" w:eastAsia="Arial Unicode MS" w:cs="Noto Sans TC"/>
          <w:b w:val="0"/>
        </w:rPr>
        <w:t>當網站付款功能啟用時，依法可用之付款方式可能因地區與裝置而異。實際之付款方式、結算貨幣、稅金及驗證步驟必須於最終確認前顯示。</w:t>
      </w:r>
    </w:p>
    <w:p>
      <w:pPr>
        <w:keepLines w:val="0"/>
      </w:pPr>
      <w:r>
        <w:rPr>
          <w:rFonts w:ascii="Arial Unicode MS" w:hAnsi="Arial Unicode MS" w:eastAsia="Arial Unicode MS" w:cs="Noto Sans TC"/>
          <w:b w:val="0"/>
        </w:rPr>
        <w:t>透過 dawnbloom.net 使用 Apple Pay 進行之付款視為官方網站訂單；Apple Pay 僅作為付款方式，不構成透過 App Store 完成之應用內購買。</w:t>
      </w:r>
    </w:p>
    <w:p>
      <w:pPr>
        <w:pStyle w:val="Heading1"/>
        <w:keepLines w:val="0"/>
      </w:pPr>
      <w:r>
        <w:rPr>
          <w:rFonts w:ascii="Arial Unicode MS" w:hAnsi="Arial Unicode MS" w:eastAsia="Arial Unicode MS" w:cs="Noto Sans TC"/>
          <w:b w:val="0"/>
        </w:rPr>
        <w:t>2.3 定價、稅務與匯率</w:t>
      </w:r>
    </w:p>
    <w:p>
      <w:pPr>
        <w:keepLines w:val="0"/>
      </w:pPr>
      <w:r>
        <w:rPr>
          <w:rFonts w:ascii="Arial Unicode MS" w:hAnsi="Arial Unicode MS" w:eastAsia="Arial Unicode MS" w:cs="Noto Sans TC"/>
          <w:b w:val="0"/>
        </w:rPr>
        <w:t>CNY 為本網站產品的唯一基礎貨幣。USD 和 JPY 價格直接根據 CNY 使用相同的適用每日參考匯率快照計算，分別四捨五入至分和小數點後兩位；CNY 使用分。匯率通常每天更新一次。如果更新失敗，可能會使用最近的有效快照，並顯示其更新時間。該匯率僅供參考；從中計算並在有效報價中顯示的產品價格為實際結算價格。確認時，報價會鎖定產品、貨幣和金額，即使每日更新在其有效期內發生。過期的報價需要新的價格和用户確認。顯示的產品金額、有效訂單金額和付款產品金額必須一致，無需進行第二次結帳轉換。產品價格、適用稅費和其他應付費用必須在確認前單獨披露。銀行對帳單轉換和獨立收取的外幣交易費不在網站每日匯率範圍內。</w:t>
      </w:r>
    </w:p>
    <w:p>
      <w:pPr>
        <w:pStyle w:val="Heading1"/>
        <w:keepLines w:val="0"/>
      </w:pPr>
      <w:r>
        <w:rPr>
          <w:rFonts w:ascii="Arial Unicode MS" w:hAnsi="Arial Unicode MS" w:eastAsia="Arial Unicode MS" w:cs="Noto Sans TC"/>
          <w:b w:val="0"/>
        </w:rPr>
        <w:t>3. 訂單確認、訂單成立與數位交付</w:t>
      </w:r>
    </w:p>
    <w:p>
      <w:pPr>
        <w:keepLines w:val="0"/>
      </w:pPr>
      <w:r>
        <w:rPr>
          <w:rFonts w:ascii="Arial Unicode MS" w:hAnsi="Arial Unicode MS" w:eastAsia="Arial Unicode MS" w:cs="Noto Sans TC"/>
          <w:b w:val="0"/>
        </w:rPr>
        <w:t>下單前，用户必須能夠查看商品、數量、類型、選定貨幣、鎖定的產品價格、單獨列出的稅費、總應付金額、配送帳戶和退款通知。變動的 CNY 基礎價格或每日匯率僅影響新確認的報價；已付款訂單永不重新定價。</w:t>
      </w:r>
    </w:p>
    <w:p>
      <w:pPr>
        <w:keepLines w:val="0"/>
      </w:pPr>
      <w:r>
        <w:rPr>
          <w:rFonts w:ascii="Arial Unicode MS" w:hAnsi="Arial Unicode MS" w:eastAsia="Arial Unicode MS" w:cs="Noto Sans TC"/>
          <w:b w:val="0"/>
        </w:rPr>
        <w:t xml:space="preserve">支付成功且系統確認後，數位商品將自動發送至與購買關聯的遊戲帳號中。若支付已完成但系統尚未確認、資金到賬延遲或交付失敗，用戶應保留訂單編號並聯繫 </w:t>
      </w:r>
      <w:hyperlink r:id="rId12">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w:t>
      </w:r>
    </w:p>
    <w:p>
      <w:pPr>
        <w:keepLines w:val="0"/>
      </w:pPr>
      <w:r>
        <w:rPr>
          <w:rFonts w:ascii="Arial Unicode MS" w:hAnsi="Arial Unicode MS" w:eastAsia="Arial Unicode MS" w:cs="Noto Sans TC"/>
          <w:b w:val="0"/>
        </w:rPr>
        <w:t>訂單記錄應保留購買時的 CNY 基礎價格、實際結算貨幣及金額、匯率快照、交易時間、用於退款、支援、審計和爭議處理的交付及使用記錄，並受隱私權政策規範。</w:t>
      </w:r>
    </w:p>
    <w:p>
      <w:pPr>
        <w:pStyle w:val="Heading1"/>
        <w:keepLines w:val="0"/>
      </w:pPr>
      <w:r>
        <w:rPr>
          <w:rFonts w:ascii="Arial Unicode MS" w:hAnsi="Arial Unicode MS" w:eastAsia="Arial Unicode MS" w:cs="Noto Sans TC"/>
          <w:b w:val="0"/>
        </w:rPr>
        <w:t>4. 官方網站訂單之一般退款規則</w:t>
      </w:r>
    </w:p>
    <w:p>
      <w:pPr>
        <w:pStyle w:val="Heading1"/>
        <w:keepLines w:val="0"/>
      </w:pPr>
      <w:r>
        <w:rPr>
          <w:rFonts w:ascii="Arial Unicode MS" w:hAnsi="Arial Unicode MS" w:eastAsia="Arial Unicode MS" w:cs="Noto Sans TC"/>
          <w:b w:val="0"/>
        </w:rPr>
        <w:t>4.1 符合優先退款或替代補償條件之情境</w:t>
      </w:r>
    </w:p>
    <w:p>
      <w:pPr>
        <w:pStyle w:val="ListBullet"/>
        <w:keepLines w:val="0"/>
      </w:pPr>
      <w:r>
        <w:rPr>
          <w:rFonts w:ascii="Arial Unicode MS" w:hAnsi="Arial Unicode MS" w:eastAsia="Arial Unicode MS" w:cs="Noto Sans TC"/>
          <w:b w:val="0"/>
        </w:rPr>
        <w:t>由於系統或支付異常導致重複收費或創建重複訂單，其中重複的金額未導致用户保留任何額外權利或福利；</w:t>
      </w:r>
    </w:p>
    <w:p>
      <w:pPr>
        <w:pStyle w:val="ListBullet"/>
        <w:keepLines w:val="0"/>
      </w:pPr>
      <w:r>
        <w:rPr>
          <w:rFonts w:ascii="Arial Unicode MS" w:hAnsi="Arial Unicode MS" w:eastAsia="Arial Unicode MS" w:cs="Noto Sans TC"/>
          <w:b w:val="0"/>
        </w:rPr>
        <w:t>支付已成功完成，但產品未在合理時間內交付，且問題無法通過替換解決；</w:t>
      </w:r>
    </w:p>
    <w:p>
      <w:pPr>
        <w:pStyle w:val="ListBullet"/>
        <w:keepLines w:val="0"/>
      </w:pPr>
      <w:r>
        <w:rPr>
          <w:rFonts w:ascii="Arial Unicode MS" w:hAnsi="Arial Unicode MS" w:eastAsia="Arial Unicode MS" w:cs="Noto Sans TC"/>
          <w:b w:val="0"/>
        </w:rPr>
        <w:t>實際交付的內容與產品購買頁面上明確披露的內容不符；</w:t>
      </w:r>
    </w:p>
    <w:p>
      <w:pPr>
        <w:pStyle w:val="ListBullet"/>
        <w:keepLines w:val="0"/>
      </w:pPr>
      <w:r>
        <w:rPr>
          <w:rFonts w:ascii="Arial Unicode MS" w:hAnsi="Arial Unicode MS" w:eastAsia="Arial Unicode MS" w:cs="Noto Sans TC"/>
          <w:b w:val="0"/>
        </w:rPr>
        <w:t>由於 DAWNBLOOM 技術故障導致訂單錯誤、異常消費、激活不正確或無法正常使用，且此類問題無法修復以恢復用户的正當權益；</w:t>
      </w:r>
    </w:p>
    <w:p>
      <w:pPr>
        <w:pStyle w:val="ListBullet"/>
        <w:keepLines w:val="0"/>
      </w:pPr>
      <w:r>
        <w:rPr>
          <w:rFonts w:ascii="Arial Unicode MS" w:hAnsi="Arial Unicode MS" w:eastAsia="Arial Unicode MS" w:cs="Noto Sans TC"/>
          <w:b w:val="0"/>
        </w:rPr>
        <w:t>付款未經授權，且適用法律、支付網絡規則或司法及監管要求規定必須退還款項；</w:t>
      </w:r>
    </w:p>
    <w:p>
      <w:pPr>
        <w:pStyle w:val="ListBullet"/>
        <w:keepLines w:val="0"/>
      </w:pPr>
      <w:r>
        <w:rPr>
          <w:rFonts w:ascii="Arial Unicode MS" w:hAnsi="Arial Unicode MS" w:eastAsia="Arial Unicode MS" w:cs="Noto Sans TC"/>
          <w:b w:val="0"/>
        </w:rPr>
        <w:t>適用法律规定的其他需要退款、取消、终止或提供同等救济的情形。</w:t>
      </w:r>
    </w:p>
    <w:p>
      <w:pPr>
        <w:pStyle w:val="Heading1"/>
        <w:keepLines w:val="0"/>
      </w:pPr>
      <w:r>
        <w:rPr>
          <w:rFonts w:ascii="Arial Unicode MS" w:hAnsi="Arial Unicode MS" w:eastAsia="Arial Unicode MS" w:cs="Noto Sans TC"/>
          <w:b w:val="0"/>
        </w:rPr>
        <w:t>4.2 一般不構成自願退款之情境</w:t>
      </w:r>
    </w:p>
    <w:p>
      <w:pPr>
        <w:pStyle w:val="ListBullet"/>
        <w:keepLines w:val="0"/>
      </w:pPr>
      <w:r>
        <w:rPr>
          <w:rFonts w:ascii="Arial Unicode MS" w:hAnsi="Arial Unicode MS" w:eastAsia="Arial Unicode MS" w:cs="Noto Sans TC"/>
          <w:b w:val="0"/>
        </w:rPr>
        <w:t>用户仅在购买后改变主意，且数字商品已即时交付、激活、领取、消耗、兑换、转让或以其他方式实质性使用；</w:t>
      </w:r>
    </w:p>
    <w:p>
      <w:pPr>
        <w:pStyle w:val="ListBullet"/>
        <w:keepLines w:val="0"/>
      </w:pPr>
      <w:r>
        <w:rPr>
          <w:rFonts w:ascii="Arial Unicode MS" w:hAnsi="Arial Unicode MS" w:eastAsia="Arial Unicode MS" w:cs="Noto Sans TC"/>
          <w:b w:val="0"/>
        </w:rPr>
        <w:t>用户仅因未获得其预期的特定物品而请求退款，尽管随机宝箱在销售时已按披露的实际概率和规则正常运行；</w:t>
      </w:r>
    </w:p>
    <w:p>
      <w:pPr>
        <w:pStyle w:val="ListBullet"/>
        <w:keepLines w:val="0"/>
      </w:pPr>
      <w:r>
        <w:rPr>
          <w:rFonts w:ascii="Arial Unicode MS" w:hAnsi="Arial Unicode MS" w:eastAsia="Arial Unicode MS" w:cs="Noto Sans TC"/>
          <w:b w:val="0"/>
        </w:rPr>
        <w:t>由于用户自身设备、网络、第三方插件或非官方客户端导致的技术问题，且产品已正确交付；</w:t>
      </w:r>
    </w:p>
    <w:p>
      <w:pPr>
        <w:pStyle w:val="ListBullet"/>
        <w:keepLines w:val="0"/>
      </w:pPr>
      <w:r>
        <w:rPr>
          <w:rFonts w:ascii="Arial Unicode MS" w:hAnsi="Arial Unicode MS" w:eastAsia="Arial Unicode MS" w:cs="Noto Sans TC"/>
          <w:b w:val="0"/>
        </w:rPr>
        <w:t>若證據證實存在故意虛假拒付、黑卡購買、退款後轉移/提取虛擬資產、串通欺詐，或濫用退款機制等其他不當行為，此類行為將依據「玩家規則與執法政策」及相關規定處理，公司保留追究法律責任、實施交易限制及要求承擔相應法律責任的權利。</w:t>
      </w:r>
    </w:p>
    <w:p>
      <w:pPr>
        <w:pStyle w:val="ListBullet"/>
        <w:keepLines w:val="0"/>
      </w:pPr>
      <w:r>
        <w:rPr>
          <w:rFonts w:ascii="Arial Unicode MS" w:hAnsi="Arial Unicode MS" w:eastAsia="Arial Unicode MS" w:cs="Noto Sans TC"/>
          <w:b w:val="0"/>
        </w:rPr>
        <w:t>通过非授权渠道、第三方充值、黑卡、未经授权刷卡、第三方转售或其他未经授权的交易所产生的纠纷。</w:t>
      </w:r>
    </w:p>
    <w:p>
      <w:pPr>
        <w:keepLines w:val="0"/>
      </w:pPr>
      <w:r>
        <w:rPr>
          <w:rFonts w:ascii="Arial Unicode MS" w:hAnsi="Arial Unicode MS" w:eastAsia="Arial Unicode MS" w:cs="Noto Sans TC"/>
          <w:b w:val="0"/>
        </w:rPr>
        <w:t>上述“一般不构成自愿退款的情形”仅反映 DAWNBLOOM 的标准商业退款条款，并不排除用户根据适用法律享有的撤回、退款、终止或索赔的法定权利。</w:t>
      </w:r>
    </w:p>
    <w:p>
      <w:pPr>
        <w:pStyle w:val="Heading1"/>
        <w:keepLines w:val="0"/>
      </w:pPr>
      <w:r>
        <w:rPr>
          <w:rFonts w:ascii="Arial Unicode MS" w:hAnsi="Arial Unicode MS" w:eastAsia="Arial Unicode MS" w:cs="Noto Sans TC"/>
          <w:b w:val="0"/>
        </w:rPr>
        <w:t>4.3 未開啟/未使用的數位商品</w:t>
      </w:r>
    </w:p>
    <w:p>
      <w:pPr>
        <w:keepLines w:val="0"/>
      </w:pPr>
      <w:r>
        <w:rPr>
          <w:rFonts w:ascii="Arial Unicode MS" w:hAnsi="Arial Unicode MS" w:eastAsia="Arial Unicode MS" w:cs="Noto Sans TC"/>
          <w:b w:val="0"/>
        </w:rPr>
        <w:t>对于直接在官方网站购买且仍完整保留在购买账户中、未打开、未领取、未使用、未兑换或未转移的数字商品，用户可以提交退款申请。我们将根据支付渠道、购买时间、商品性质、技术可恢复性以及适用的当地法律来评估是否接受退款。如果当地法律要求更具体的退货或撤回权，则此类权利优先适用。</w:t>
      </w:r>
    </w:p>
    <w:p>
      <w:pPr>
        <w:pStyle w:val="Heading1"/>
        <w:keepLines w:val="0"/>
      </w:pPr>
      <w:r>
        <w:rPr>
          <w:rFonts w:ascii="Arial Unicode MS" w:hAnsi="Arial Unicode MS" w:eastAsia="Arial Unicode MS" w:cs="Noto Sans TC"/>
          <w:b w:val="0"/>
        </w:rPr>
        <w:t>5. 隨機盒子物品之特殊規則</w:t>
      </w:r>
    </w:p>
    <w:p>
      <w:pPr>
        <w:pStyle w:val="Heading1"/>
        <w:keepLines w:val="0"/>
      </w:pPr>
      <w:r>
        <w:rPr>
          <w:rFonts w:ascii="Arial Unicode MS" w:hAnsi="Arial Unicode MS" w:eastAsia="Arial Unicode MS" w:cs="Noto Sans TC"/>
          <w:b w:val="0"/>
        </w:rPr>
        <w:t>5.1 機率與獎池揭露</w:t>
      </w:r>
    </w:p>
    <w:p>
      <w:pPr>
        <w:keepLines w:val="0"/>
      </w:pPr>
      <w:r>
        <w:rPr>
          <w:rFonts w:ascii="Arial Unicode MS" w:hAnsi="Arial Unicode MS" w:eastAsia="Arial Unicode MS" w:cs="Noto Sans TC"/>
          <w:b w:val="0"/>
        </w:rPr>
        <w:t>随机型宝箱的产品详情页应在购买前清晰展示潜在内容、概率或概率规则、任何必要的保底/渐进机制（如适用）、数量或稀有度规格、适用版本及生效日期。如果规则修改，将对旧版和新版实施可追溯的管理系统。</w:t>
      </w:r>
    </w:p>
    <w:p>
      <w:pPr>
        <w:keepLines w:val="0"/>
      </w:pPr>
      <w:r>
        <w:rPr>
          <w:rFonts w:ascii="Arial Unicode MS" w:hAnsi="Arial Unicode MS" w:eastAsia="Arial Unicode MS" w:cs="Noto Sans TC"/>
          <w:b w:val="0"/>
        </w:rPr>
        <w:t>对于已经购买并受特定版本规则约束的数字商品，不得以对用户不利的方式，通过未披露的后端机制改变适用于该订单的既定概率规则。</w:t>
      </w:r>
    </w:p>
    <w:p>
      <w:pPr>
        <w:pStyle w:val="Heading1"/>
        <w:keepLines w:val="0"/>
      </w:pPr>
      <w:r>
        <w:rPr>
          <w:rFonts w:ascii="Arial Unicode MS" w:hAnsi="Arial Unicode MS" w:eastAsia="Arial Unicode MS" w:cs="Noto Sans TC"/>
          <w:b w:val="0"/>
        </w:rPr>
        <w:t>5.2 啟用後之退款</w:t>
      </w:r>
    </w:p>
    <w:p>
      <w:pPr>
        <w:keepLines w:val="0"/>
      </w:pPr>
      <w:r>
        <w:rPr>
          <w:rFonts w:ascii="Arial Unicode MS" w:hAnsi="Arial Unicode MS" w:eastAsia="Arial Unicode MS" w:cs="Noto Sans TC"/>
          <w:b w:val="0"/>
        </w:rPr>
        <w:t>一旦隨機寶箱已正常開啟且結果已生成，該結果本身通常不構成退款的合理理由。若發生機率揭露錯誤、實際抽獎邏輯與揭露規則不一致、道具池配置錯誤、系統過度消耗或其他營運原因等問題，我們將根據影響範圍、技術可恢復性及適用法律，提供適當的補救措施，包括修復、補償、重新交付或退款。</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根據中國目前有關網路遊戲的官方監管文件，直接涉及法定貨幣或遊戲內虛擬貨幣注入的隨機獎勵玩法，受到明確的監管限制。此類機制需具備清晰的機率揭露、記錄保存及其他合規措施。因此，「直接付費購買隨機寶箱」的功能不得僅基於這些條款在中國大陸地區上線；正式銷售前必須進行專門的法律與合規審查。若此類銷售機制被適用規則禁止，則必須停用該功能或轉換為經獨立驗證符合合規要求的替代獲取機制。</w:t>
            </w:r>
          </w:p>
        </w:tc>
      </w:tr>
    </w:tbl>
    <w:p>
      <w:pPr>
        <w:spacing w:after="40"/>
      </w:pPr>
    </w:p>
    <w:p>
      <w:pPr>
        <w:pStyle w:val="Heading1"/>
        <w:keepLines w:val="0"/>
      </w:pPr>
      <w:r>
        <w:rPr>
          <w:rFonts w:ascii="Arial Unicode MS" w:hAnsi="Arial Unicode MS" w:eastAsia="Arial Unicode MS" w:cs="Noto Sans TC"/>
          <w:b w:val="0"/>
        </w:rPr>
        <w:t>5.3 記錄保存與爭議驗證</w:t>
      </w:r>
    </w:p>
    <w:p>
      <w:pPr>
        <w:keepLines w:val="0"/>
      </w:pPr>
      <w:r>
        <w:rPr>
          <w:rFonts w:ascii="Arial Unicode MS" w:hAnsi="Arial Unicode MS" w:eastAsia="Arial Unicode MS" w:cs="Noto Sans TC"/>
          <w:b w:val="0"/>
        </w:rPr>
        <w:t>對於隨機類型商品，我們將保留必要的訂單記錄、版本資訊、開啟結果及機率規則，保留期限依適用法律與技術條件而定，目的在於審計、監管查詢、客服爭議及爭議解決。在中國大陸地區，若受相關公共監管要求約束，隨機選擇記錄及付款/充值交易記錄的保留期限不得少於法定或監管要求。</w:t>
      </w:r>
    </w:p>
    <w:p>
      <w:pPr>
        <w:pStyle w:val="Heading1"/>
        <w:keepLines w:val="0"/>
      </w:pPr>
      <w:r>
        <w:rPr>
          <w:rFonts w:ascii="Arial Unicode MS" w:hAnsi="Arial Unicode MS" w:eastAsia="Arial Unicode MS" w:cs="Noto Sans TC"/>
          <w:b w:val="0"/>
        </w:rPr>
        <w:t>6. 第三方平台訂單之退款</w:t>
      </w:r>
    </w:p>
    <w:p>
      <w:pPr>
        <w:pStyle w:val="Heading1"/>
        <w:keepLines w:val="0"/>
      </w:pPr>
      <w:r>
        <w:rPr>
          <w:rFonts w:ascii="Arial Unicode MS" w:hAnsi="Arial Unicode MS" w:eastAsia="Arial Unicode MS" w:cs="Noto Sans TC"/>
          <w:b w:val="0"/>
        </w:rPr>
        <w:t>6.1 Apple App Store</w:t>
      </w:r>
    </w:p>
    <w:p>
      <w:pPr>
        <w:keepLines w:val="0"/>
      </w:pPr>
      <w:r>
        <w:rPr>
          <w:rFonts w:ascii="Arial Unicode MS" w:hAnsi="Arial Unicode MS" w:eastAsia="Arial Unicode MS" w:cs="Noto Sans TC"/>
          <w:b w:val="0"/>
        </w:rPr>
        <w:t>透過 Apple App Store 進行的應用程式內購買，建議使用者透過 Apple 指定的退款入口網站或聯繫 Apple 客戶服務發起退款請求。是否批准退款、退款時機及退款流程將由 Apple 依據其自身規則、訂單詳情及適用法律決定。DAWNBLOOM 在收到來自 App Store 的退款通知後，可能會依法及內部規則，撤銷與該退款訂單相關的相應數位權利。</w:t>
      </w:r>
    </w:p>
    <w:p>
      <w:pPr>
        <w:keepLines w:val="0"/>
      </w:pPr>
      <w:r>
        <w:rPr>
          <w:rFonts w:ascii="Arial Unicode MS" w:hAnsi="Arial Unicode MS" w:eastAsia="Arial Unicode MS" w:cs="Noto Sans TC"/>
          <w:b w:val="0"/>
        </w:rPr>
        <w:t>蘋果的平台佣金或服務費屬於開發者與蘋果之間的結算安排，不得作為以固定比例（如 70%）扣除用戶退款的理由。</w:t>
      </w:r>
    </w:p>
    <w:p>
      <w:pPr>
        <w:pStyle w:val="Heading1"/>
        <w:keepLines w:val="0"/>
      </w:pPr>
      <w:r>
        <w:rPr>
          <w:rFonts w:ascii="Arial Unicode MS" w:hAnsi="Arial Unicode MS" w:eastAsia="Arial Unicode MS" w:cs="Noto Sans TC"/>
          <w:b w:val="0"/>
        </w:rPr>
        <w:t>6.2 Steam</w:t>
      </w:r>
    </w:p>
    <w:p>
      <w:pPr>
        <w:keepLines w:val="0"/>
      </w:pPr>
      <w:r>
        <w:rPr>
          <w:rFonts w:ascii="Arial Unicode MS" w:hAnsi="Arial Unicode MS" w:eastAsia="Arial Unicode MS" w:cs="Noto Sans TC"/>
          <w:b w:val="0"/>
        </w:rPr>
        <w:t>透過 Steam 購買的基礎遊戲、DLC 或遊戲內項目，退款必須透過 Steam 客戶服務及其退款系統提出。Steam 通常為基礎遊戲提供 14 天的退款窗口，前提是玩家遊玩時間少於兩小時；遊戲內購買項目的資格和具體條件取決於 Steam 的政策以及開發者是否已為該項目啟用退款。實際退款政策以 Steam 當前顯示的規則和頁面資訊為準。</w:t>
      </w:r>
    </w:p>
    <w:p>
      <w:pPr>
        <w:pStyle w:val="Heading1"/>
        <w:keepLines w:val="0"/>
      </w:pPr>
      <w:r>
        <w:rPr>
          <w:rFonts w:ascii="Arial Unicode MS" w:hAnsi="Arial Unicode MS" w:eastAsia="Arial Unicode MS" w:cs="Noto Sans TC"/>
          <w:b w:val="0"/>
        </w:rPr>
        <w:t>6.3 Google Play（若未來整合）</w:t>
      </w:r>
    </w:p>
    <w:p>
      <w:pPr>
        <w:keepLines w:val="0"/>
      </w:pPr>
      <w:r>
        <w:rPr>
          <w:rFonts w:ascii="Arial Unicode MS" w:hAnsi="Arial Unicode MS" w:eastAsia="Arial Unicode MS" w:cs="Noto Sans TC"/>
          <w:b w:val="0"/>
        </w:rPr>
        <w:t>若未來透過 Google Play 提供應用內購買，此類退款將受 Google Play 退款政策的約束。Google Play 可能允許在購買後 48 小時內對特定應用程式、遊戲或應用內購買提出退款請求；超過此期限後，用戶可能需要直接聯繫開發者。具體條款和條件應由 Google Play 當時現行的政策和適用法律管轄。</w:t>
      </w:r>
    </w:p>
    <w:p>
      <w:pPr>
        <w:pStyle w:val="Heading1"/>
        <w:keepLines w:val="0"/>
      </w:pPr>
      <w:r>
        <w:rPr>
          <w:rFonts w:ascii="Arial Unicode MS" w:hAnsi="Arial Unicode MS" w:eastAsia="Arial Unicode MS" w:cs="Noto Sans TC"/>
          <w:b w:val="0"/>
        </w:rPr>
        <w:t>6.4 平台訂單與官方網站訂單為獨立區隔</w:t>
      </w:r>
    </w:p>
    <w:p>
      <w:pPr>
        <w:keepLines w:val="0"/>
      </w:pPr>
      <w:r>
        <w:rPr>
          <w:rFonts w:ascii="Arial Unicode MS" w:hAnsi="Arial Unicode MS" w:eastAsia="Arial Unicode MS" w:cs="Noto Sans TC"/>
          <w:b w:val="0"/>
        </w:rPr>
        <w:t>每個付款和分發渠道都擁有自己的訂單號和結算系統。官方網站客服無法代替蘋果、Steam 或 Google 就其各自平台上的訂單做出平台側的退款決定；但我們將在法律和平台規則框架內提供必要的協助，例如配送狀態、消費狀態和技術驗證。</w:t>
      </w:r>
    </w:p>
    <w:p>
      <w:pPr>
        <w:pStyle w:val="Heading1"/>
        <w:keepLines w:val="0"/>
      </w:pPr>
      <w:r>
        <w:rPr>
          <w:rFonts w:ascii="Arial Unicode MS" w:hAnsi="Arial Unicode MS" w:eastAsia="Arial Unicode MS" w:cs="Noto Sans TC"/>
          <w:b w:val="0"/>
        </w:rPr>
        <w:t>7. 未成年人與未經授權之購買</w:t>
      </w:r>
    </w:p>
    <w:p>
      <w:pPr>
        <w:keepLines w:val="0"/>
      </w:pPr>
      <w:r>
        <w:rPr>
          <w:rFonts w:ascii="Arial Unicode MS" w:hAnsi="Arial Unicode MS" w:eastAsia="Arial Unicode MS" w:cs="Noto Sans TC"/>
          <w:b w:val="0"/>
        </w:rPr>
        <w:t>本服務適用於 18 歲或以上成年人。監護人可就未成年人未經有效同意或授權所進行的購買尋求審查。我們將評估法律、法律行為能力、訂單證據、監護關係、平台規則及實際使用情況。相關遊戲帳戶僅在涉及未成年人的購買經核實、全部或實質性退款獲批准且該退款已實際完成後，才會進入永久遊戲服務限制狀態。申請中、待審核、部分退款或普通退款不會觸發此限制。</w:t>
      </w:r>
    </w:p>
    <w:p>
      <w:pPr>
        <w:pStyle w:val="Heading1"/>
        <w:keepLines w:val="0"/>
      </w:pPr>
      <w:r>
        <w:rPr>
          <w:rFonts w:ascii="Arial Unicode MS" w:hAnsi="Arial Unicode MS" w:eastAsia="Arial Unicode MS" w:cs="Noto Sans TC"/>
          <w:b w:val="0"/>
        </w:rPr>
        <w:t>7.1 申請材料與最小必要原則</w:t>
      </w:r>
    </w:p>
    <w:p>
      <w:pPr>
        <w:keepLines w:val="0"/>
      </w:pPr>
      <w:r>
        <w:rPr>
          <w:rFonts w:ascii="Arial Unicode MS" w:hAnsi="Arial Unicode MS" w:eastAsia="Arial Unicode MS" w:cs="Noto Sans TC"/>
          <w:b w:val="0"/>
        </w:rPr>
        <w:t>我們可能會要求提供必要材料以驗證訂單、帳戶、未成年人年齡、監護關係及未經授權的事實。用戶可以模糊或處理與驗證目的無關的敏感資訊。我們不會在處理未成年人退款時，不合理地長期保留完整的身份證號碼或身份證照片。</w:t>
      </w:r>
    </w:p>
    <w:p>
      <w:pPr>
        <w:pStyle w:val="Heading1"/>
        <w:keepLines w:val="0"/>
      </w:pPr>
      <w:r>
        <w:rPr>
          <w:rFonts w:ascii="Arial Unicode MS" w:hAnsi="Arial Unicode MS" w:eastAsia="Arial Unicode MS" w:cs="Noto Sans TC"/>
          <w:b w:val="0"/>
        </w:rPr>
        <w:t>7.2 未設立固定的 70% 退款上限</w:t>
      </w:r>
    </w:p>
    <w:p>
      <w:pPr>
        <w:keepLines w:val="0"/>
      </w:pPr>
      <w:r>
        <w:rPr>
          <w:rFonts w:ascii="Arial Unicode MS" w:hAnsi="Arial Unicode MS" w:eastAsia="Arial Unicode MS" w:cs="Noto Sans TC"/>
          <w:b w:val="0"/>
        </w:rPr>
        <w:t>小額購買退款的處理不受固定 70% 上限或平台佣金自動扣減的限制。核准的退款將以原始交易貨幣及實際支付金額為準，不會按退款當日的匯率重新計算。後續對遊戲帳號施加的限制，並不會削減任何依法核准之退款的權利。</w:t>
      </w:r>
    </w:p>
    <w:p>
      <w:pPr>
        <w:pStyle w:val="Heading1"/>
        <w:keepLines w:val="0"/>
      </w:pPr>
      <w:r>
        <w:rPr>
          <w:rFonts w:ascii="Arial Unicode MS" w:hAnsi="Arial Unicode MS" w:eastAsia="Arial Unicode MS" w:cs="Noto Sans TC"/>
          <w:b w:val="0"/>
        </w:rPr>
        <w:t>7.3 中國大陸地區</w:t>
      </w:r>
    </w:p>
    <w:p>
      <w:pPr>
        <w:keepLines w:val="0"/>
      </w:pPr>
      <w:r>
        <w:rPr>
          <w:rFonts w:ascii="Arial Unicode MS" w:hAnsi="Arial Unicode MS" w:eastAsia="Arial Unicode MS" w:cs="Noto Sans TC"/>
          <w:b w:val="0"/>
        </w:rPr>
        <w:t>關於中國大陸境內未成年人消費爭議，將依據《民法典》、消費者保護法規、未成年人網路遊戲保護規定及司法實務進行處理。若能證明當事人為未經監護人同意而進行購買的未成年人，且其消費金額顯著超出其年齡與認知能力範圍，我們將依法配合相關法律措施。若監護人未能妥善管理支付工具、共享帳號或存在長期疏忽等情況，此類行為可能被納入責任評估範圍。</w:t>
      </w:r>
    </w:p>
    <w:p>
      <w:pPr>
        <w:pStyle w:val="Heading1"/>
        <w:keepLines w:val="0"/>
      </w:pPr>
      <w:r>
        <w:rPr>
          <w:rFonts w:ascii="Arial Unicode MS" w:hAnsi="Arial Unicode MS" w:eastAsia="Arial Unicode MS" w:cs="Noto Sans TC"/>
          <w:b w:val="0"/>
        </w:rPr>
        <w:t>7.4 美國與日本</w:t>
      </w:r>
    </w:p>
    <w:p>
      <w:pPr>
        <w:keepLines w:val="0"/>
      </w:pPr>
      <w:r>
        <w:rPr>
          <w:rFonts w:ascii="Arial Unicode MS" w:hAnsi="Arial Unicode MS" w:eastAsia="Arial Unicode MS" w:cs="Noto Sans TC"/>
          <w:b w:val="0"/>
        </w:rPr>
        <w:t>美國用戶未經授權或因家人誤購所進行之購買，將依據支付平台規則、適用州法律及聯邦消費者保護法規進行處理。在日本地區，年滿 18 歲者視為成年人；未獲法定監護人同意而由 18 歲以下個人簽訂之合約及其相關撤銷權，將受日本民法及消費者保護法規規範。</w:t>
      </w:r>
    </w:p>
    <w:p>
      <w:pPr>
        <w:pStyle w:val="Heading1"/>
        <w:keepLines w:val="0"/>
      </w:pPr>
      <w:r>
        <w:rPr>
          <w:rFonts w:ascii="Arial Unicode MS" w:hAnsi="Arial Unicode MS" w:eastAsia="Arial Unicode MS" w:cs="Noto Sans TC"/>
          <w:b w:val="0"/>
        </w:rPr>
        <w:t>8. 未經授權的付款、欺詐性交易及爭議（拒付）</w:t>
      </w:r>
    </w:p>
    <w:p>
      <w:pPr>
        <w:keepLines w:val="0"/>
      </w:pPr>
      <w:r>
        <w:rPr>
          <w:rFonts w:ascii="Arial Unicode MS" w:hAnsi="Arial Unicode MS" w:eastAsia="Arial Unicode MS" w:cs="Noto Sans TC"/>
          <w:b w:val="0"/>
        </w:rPr>
        <w:t>若您發現可疑的未經授權交易、未經授權付款或您的支付帳戶遭未經授權使用，請立即聯繫支付提供商及 DAWNBLOOM 客戶服務，並提供訂單編號及任何相關詳情。對於透過銀行卡、Apple、Google 或 Steam 等第三方平台下達的訂單，您還必須按照各自支付網絡或平台規定的時限提交爭議申請。</w:t>
      </w:r>
    </w:p>
    <w:p>
      <w:pPr>
        <w:keepLines w:val="0"/>
      </w:pPr>
      <w:r>
        <w:rPr>
          <w:rFonts w:ascii="Arial Unicode MS" w:hAnsi="Arial Unicode MS" w:eastAsia="Arial Unicode MS" w:cs="Noto Sans TC"/>
          <w:b w:val="0"/>
        </w:rPr>
      </w:r>
    </w:p>
    <w:p>
      <w:pPr>
        <w:keepLines w:val="0"/>
      </w:pPr>
      <w:r>
        <w:rPr>
          <w:rFonts w:ascii="Arial Unicode MS" w:hAnsi="Arial Unicode MS" w:eastAsia="Arial Unicode MS" w:cs="Noto Sans TC"/>
          <w:b w:val="0"/>
        </w:rPr>
        <w:t xml:space="preserve">@dawnbloom.net  </w:t>
      </w:r>
    </w:p>
    <w:p>
      <w:pPr>
        <w:keepLines w:val="0"/>
      </w:pPr>
      <w:hyperlink r:id="rId13">
        <w:r>
          <w:rPr>
            <w:rFonts w:ascii="Arial Unicode MS" w:hAnsi="Arial Unicode MS" w:eastAsia="Arial Unicode MS"/>
            <w:b w:val="0"/>
          </w:rPr>
          <w:t xml:space="preserve">https://www.dawnbloom.net/support</w:t>
        </w:r>
      </w:hyperlink>
      <w:r>
        <w:rPr>
          <w:rFonts w:ascii="Arial Unicode MS" w:hAnsi="Arial Unicode MS" w:eastAsia="Arial Unicode MS" w:cs="Noto Sans TC"/>
          <w:b w:val="0"/>
        </w:rPr>
        <w:t xml:space="preserve">  </w:t>
      </w:r>
    </w:p>
    <w:p>
      <w:pPr>
        <w:keepLines w:val="0"/>
      </w:pPr>
      <w:r>
        <w:rPr>
          <w:rFonts w:ascii="Arial Unicode MS" w:hAnsi="Arial Unicode MS" w:eastAsia="Arial Unicode MS" w:cs="Noto Sans TC"/>
          <w:b w:val="0"/>
        </w:rPr>
      </w:r>
    </w:p>
    <w:p>
      <w:pPr>
        <w:keepLines w:val="0"/>
      </w:pPr>
      <w:r>
        <w:rPr>
          <w:rFonts w:ascii="Arial Unicode MS" w:hAnsi="Arial Unicode MS" w:eastAsia="Arial Unicode MS" w:cs="Noto Sans TC"/>
          <w:b w:val="0"/>
        </w:rPr>
        <w:t>SHANGHAI LUMIREALM CREATIVE MEDIA CO., LTD.</w:t>
      </w:r>
    </w:p>
    <w:p>
      <w:pPr>
        <w:keepLines w:val="0"/>
      </w:pPr>
      <w:r>
        <w:rPr>
          <w:rFonts w:ascii="Arial Unicode MS" w:hAnsi="Arial Unicode MS" w:eastAsia="Arial Unicode MS" w:cs="Noto Sans TC"/>
          <w:b w:val="0"/>
        </w:rPr>
        <w:t>基於誠信原則提出的退款申請或真實的支付爭議本身並非處罰遊戲的理由。與爭議訂單相關的權益可能在審查期間受到保護。僅有第 7 節所述經核實且已完成的與未成年人相關的全面或實質全面退款，才會觸發其單獨的遊戲服務限制；其他退款不會自動導致永久封禁。</w:t>
      </w:r>
    </w:p>
    <w:p>
      <w:pPr>
        <w:keepLines w:val="0"/>
      </w:pPr>
      <w:r>
        <w:rPr>
          <w:rFonts w:ascii="Arial Unicode MS" w:hAnsi="Arial Unicode MS" w:eastAsia="Arial Unicode MS" w:cs="Noto Sans TC"/>
          <w:b w:val="0"/>
        </w:rPr>
        <w:t>若證據證實存在故意虛假拒付、黑卡購買、退款後轉移/提取虛擬資產、串通欺詐，或濫用退款機制等其他不當行為，此類行為將依據「玩家規則與執法政策」處理，公司保留追究法律責任、實施交易限制及要求承擔相應法律責任的權利。</w:t>
      </w:r>
    </w:p>
    <w:p>
      <w:pPr>
        <w:pStyle w:val="Heading1"/>
        <w:keepLines w:val="0"/>
      </w:pPr>
      <w:r>
        <w:rPr>
          <w:rFonts w:ascii="Arial Unicode MS" w:hAnsi="Arial Unicode MS" w:eastAsia="Arial Unicode MS" w:cs="Noto Sans TC"/>
          <w:b w:val="0"/>
        </w:rPr>
        <w:t>9. 退款後虛擬權利之恢復與數據調整</w:t>
      </w:r>
    </w:p>
    <w:p>
      <w:pPr>
        <w:keepLines w:val="0"/>
      </w:pPr>
      <w:r>
        <w:rPr>
          <w:rFonts w:ascii="Arial Unicode MS" w:hAnsi="Arial Unicode MS" w:eastAsia="Arial Unicode MS" w:cs="Noto Sans TC"/>
          <w:b w:val="0"/>
        </w:rPr>
        <w:t>在發生全部或部分退款、取消、支付被拒絕或交易撤銷時，運營商有權在法律和平台規則允許的範圍內撤銷相應的數字權益，以防止用戶同時持有已退款的金額和等值的數字商品。</w:t>
      </w:r>
    </w:p>
    <w:p>
      <w:pPr>
        <w:pStyle w:val="ListBullet"/>
        <w:keepLines w:val="0"/>
      </w:pPr>
      <w:r>
        <w:rPr>
          <w:rFonts w:ascii="Arial Unicode MS" w:hAnsi="Arial Unicode MS" w:eastAsia="Arial Unicode MS" w:cs="Noto Sans TC"/>
          <w:b w:val="0"/>
        </w:rPr>
        <w:t>未開啟或未使用的寶箱或道具可直接從購買帳號中收回；</w:t>
      </w:r>
    </w:p>
    <w:p>
      <w:pPr>
        <w:pStyle w:val="ListBullet"/>
        <w:keepLines w:val="0"/>
      </w:pPr>
      <w:r>
        <w:rPr>
          <w:rFonts w:ascii="Arial Unicode MS" w:hAnsi="Arial Unicode MS" w:eastAsia="Arial Unicode MS" w:cs="Noto Sans TC"/>
          <w:b w:val="0"/>
        </w:rPr>
        <w:t>已兌換或轉換為其他虛擬物品、貨幣、屬性或服務的項目，可收回其直接可識別的衍生產品；</w:t>
      </w:r>
    </w:p>
    <w:p>
      <w:pPr>
        <w:pStyle w:val="ListBullet"/>
        <w:keepLines w:val="0"/>
      </w:pPr>
      <w:r>
        <w:rPr>
          <w:rFonts w:ascii="Arial Unicode MS" w:hAnsi="Arial Unicode MS" w:eastAsia="Arial Unicode MS" w:cs="Noto Sans TC"/>
          <w:b w:val="0"/>
        </w:rPr>
        <w:t>如果直接衍生產品已被消耗或涉及複雜的轉移，可基於可驗證的實際價值進行等值追回、凍結相關項目、限制相關交易或調整相應數值；</w:t>
      </w:r>
    </w:p>
    <w:p>
      <w:pPr>
        <w:pStyle w:val="ListBullet"/>
        <w:keepLines w:val="0"/>
      </w:pPr>
      <w:r>
        <w:rPr>
          <w:rFonts w:ascii="Arial Unicode MS" w:hAnsi="Arial Unicode MS" w:eastAsia="Arial Unicode MS" w:cs="Noto Sans TC"/>
          <w:b w:val="0"/>
        </w:rPr>
        <w:t>對於無證據證明參與欺詐且其交易與退款訂單無關的無辜第三方玩家，僅因他們收到了正常交易的物品而不會施加處罰；但是，異常交易鏈、複製的物品或來自欺詐的收益可能會根據「玩家規則與執法政策」另行調查。</w:t>
      </w:r>
    </w:p>
    <w:p>
      <w:pPr>
        <w:keepLines w:val="0"/>
      </w:pPr>
      <w:r>
        <w:rPr>
          <w:rFonts w:ascii="Arial Unicode MS" w:hAnsi="Arial Unicode MS" w:eastAsia="Arial Unicode MS" w:cs="Noto Sans TC"/>
          <w:b w:val="0"/>
        </w:rPr>
        <w:t>"執行。權益回收針對退款訂單及可追溯的相關收益，不減少依法應得的退款。完成第 7 節所述的小額退款後，相關遊戲帳戶也將受到永久服務限制，以防止進一步購買、虛擬交易及相關爭議。其他 DAWNBLOOM 帳戶應用程序不會自動受限。</w:t>
      </w:r>
    </w:p>
    <w:p>
      <w:pPr>
        <w:pStyle w:val="Heading1"/>
        <w:keepLines w:val="0"/>
      </w:pPr>
      <w:r>
        <w:rPr>
          <w:rFonts w:ascii="Arial Unicode MS" w:hAnsi="Arial Unicode MS" w:eastAsia="Arial Unicode MS" w:cs="Noto Sans TC"/>
          <w:b w:val="0"/>
        </w:rPr>
        <w:t>10. 官方網站退款申請流程</w:t>
      </w:r>
    </w:p>
    <w:p>
      <w:pPr>
        <w:keepLines w:val="0"/>
      </w:pPr>
      <w:r>
        <w:rPr>
          <w:rFonts w:ascii="Arial Unicode MS" w:hAnsi="Arial Unicode MS" w:eastAsia="Arial Unicode MS" w:cs="Noto Sans TC"/>
          <w:b w:val="0"/>
        </w:rPr>
        <w:t>光與精靈可以說明正式訂單、退款及申訴入口；AI 回答不構成訂單成立、退款核准、資產恢復或補發結果。涉及具體訂單和支付資訊，須由本人透過正式驗證及客服審核流程辦理。實際處理結果及法定退款權利仍以本文件原有規則和適用法律為準。</w:t>
      </w:r>
    </w:p>
    <w:p>
      <w:pPr>
        <w:pStyle w:val="Heading1"/>
        <w:keepLines w:val="0"/>
      </w:pPr>
      <w:r>
        <w:rPr>
          <w:rFonts w:ascii="Arial Unicode MS" w:hAnsi="Arial Unicode MS" w:eastAsia="Arial Unicode MS" w:cs="Noto Sans TC"/>
          <w:b w:val="0"/>
        </w:rPr>
        <w:t>10.1 申請渠道</w:t>
      </w:r>
    </w:p>
    <w:p>
      <w:pPr>
        <w:keepLines w:val="0"/>
      </w:pPr>
      <w:r>
        <w:rPr>
          <w:rFonts w:ascii="Arial Unicode MS" w:hAnsi="Arial Unicode MS" w:eastAsia="Arial Unicode MS" w:cs="Noto Sans TC"/>
          <w:b w:val="0"/>
        </w:rPr>
        <w:t xml:space="preserve">在官方網站上下單的訂單，付款、帳單查詢及退款申請請提交至 </w:t>
      </w:r>
      <w:hyperlink r:id="rId14">
        <w:r>
          <w:rPr>
            <w:rFonts w:ascii="Arial Unicode MS" w:hAnsi="Arial Unicode MS" w:eastAsia="Arial Unicode MS"/>
            <w:b w:val="0"/>
          </w:rPr>
          <w:t xml:space="preserve">billing@dawnbloom.net</w:t>
        </w:r>
      </w:hyperlink>
      <w:r>
        <w:rPr>
          <w:rFonts w:ascii="Arial Unicode MS" w:hAnsi="Arial Unicode MS" w:eastAsia="Arial Unicode MS" w:cs="Noto Sans TC"/>
          <w:b w:val="0"/>
        </w:rPr>
        <w:t xml:space="preserve">；一般諮詢可聯繫 </w:t>
      </w:r>
      <w:hyperlink r:id="rId12">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。若透過第三方平台下單，且該平台提供專屬退款入口，使用者應優先使用該特定管道。</w:t>
      </w:r>
    </w:p>
    <w:p>
      <w:pPr>
        <w:pStyle w:val="Heading1"/>
        <w:keepLines w:val="0"/>
      </w:pPr>
      <w:r>
        <w:rPr>
          <w:rFonts w:ascii="Arial Unicode MS" w:hAnsi="Arial Unicode MS" w:eastAsia="Arial Unicode MS" w:cs="Noto Sans TC"/>
          <w:b w:val="0"/>
        </w:rPr>
        <w:t>10.2 建議提供的資訊</w:t>
      </w:r>
    </w:p>
    <w:p>
      <w:pPr>
        <w:pStyle w:val="ListBullet"/>
        <w:keepLines w:val="0"/>
      </w:pPr>
      <w:r>
        <w:rPr>
          <w:rFonts w:ascii="Arial Unicode MS" w:hAnsi="Arial Unicode MS" w:eastAsia="Arial Unicode MS" w:cs="Noto Sans TC"/>
          <w:b w:val="0"/>
        </w:rPr>
        <w:t>DAWNBLOOM 帳戶或任何必要的帳戶標識符以定位訂單；</w:t>
      </w:r>
    </w:p>
    <w:p>
      <w:pPr>
        <w:pStyle w:val="ListBullet"/>
        <w:keepLines w:val="0"/>
      </w:pPr>
      <w:r>
        <w:rPr>
          <w:rFonts w:ascii="Arial Unicode MS" w:hAnsi="Arial Unicode MS" w:eastAsia="Arial Unicode MS" w:cs="Noto Sans TC"/>
          <w:b w:val="0"/>
        </w:rPr>
        <w:t>訂單編號、購買日期、產品名稱和付款渠道；</w:t>
      </w:r>
    </w:p>
    <w:p>
      <w:pPr>
        <w:pStyle w:val="ListBullet"/>
        <w:keepLines w:val="0"/>
      </w:pPr>
      <w:r>
        <w:rPr>
          <w:rFonts w:ascii="Arial Unicode MS" w:hAnsi="Arial Unicode MS" w:eastAsia="Arial Unicode MS" w:cs="Noto Sans TC"/>
          <w:b w:val="0"/>
        </w:rPr>
        <w:t>退款原因，以及相關截圖或付款證明（如有）；</w:t>
      </w:r>
    </w:p>
    <w:p>
      <w:pPr>
        <w:pStyle w:val="ListBullet"/>
        <w:keepLines w:val="0"/>
      </w:pPr>
      <w:r>
        <w:rPr>
          <w:rFonts w:ascii="Arial Unicode MS" w:hAnsi="Arial Unicode MS" w:eastAsia="Arial Unicode MS" w:cs="Noto Sans TC"/>
          <w:b w:val="0"/>
        </w:rPr>
        <w:t>針對涉及未成年人的申訴，監護人僅需提供驗證年齡、監護權、相關命令及未獲授權所需之資訊。提交前，請明確披露：一筆已核准且完成的全額或實質全額退款將永久終止該帳號的正常遊戲服務；一般遊玩行為無法恢復此狀態。這不會減少已核准的退款金額。</w:t>
      </w:r>
    </w:p>
    <w:p>
      <w:pPr>
        <w:pStyle w:val="ListBullet"/>
        <w:keepLines w:val="0"/>
      </w:pPr>
      <w:r>
        <w:rPr>
          <w:rFonts w:ascii="Arial Unicode MS" w:hAnsi="Arial Unicode MS" w:eastAsia="Arial Unicode MS" w:cs="Noto Sans TC"/>
          <w:b w:val="0"/>
        </w:rPr>
        <w:t>客服要求的任何其他最小且合理的資訊。</w:t>
      </w:r>
    </w:p>
    <w:p>
      <w:pPr>
        <w:pStyle w:val="Heading1"/>
        <w:keepLines w:val="0"/>
      </w:pPr>
      <w:r>
        <w:rPr>
          <w:rFonts w:ascii="Arial Unicode MS" w:hAnsi="Arial Unicode MS" w:eastAsia="Arial Unicode MS" w:cs="Noto Sans TC"/>
          <w:b w:val="0"/>
        </w:rPr>
        <w:t>10.3 審查期間</w:t>
      </w:r>
    </w:p>
    <w:p>
      <w:pPr>
        <w:keepLines w:val="0"/>
      </w:pPr>
      <w:r>
        <w:rPr>
          <w:rFonts w:ascii="Arial Unicode MS" w:hAnsi="Arial Unicode MS" w:eastAsia="Arial Unicode MS" w:cs="Noto Sans TC"/>
          <w:b w:val="0"/>
        </w:rPr>
        <w:t>在正常情況下，當所需文件實質上完整時，我們將在 10 個工作天內完成初步審查或通知任何需要補充的資訊。涉及複雜帳號盜竊、未成年人、跨平台活動、拒絕付款或異常交易的情況可能需要更長的處理時間。最終結算日期由支付機構、銀行或平台決定。</w:t>
      </w:r>
    </w:p>
    <w:p>
      <w:pPr>
        <w:pStyle w:val="Heading1"/>
        <w:keepLines w:val="0"/>
      </w:pPr>
      <w:r>
        <w:rPr>
          <w:rFonts w:ascii="Arial Unicode MS" w:hAnsi="Arial Unicode MS" w:eastAsia="Arial Unicode MS" w:cs="Noto Sans TC"/>
          <w:b w:val="0"/>
        </w:rPr>
        <w:t>10.4 退款路徑</w:t>
      </w:r>
    </w:p>
    <w:p>
      <w:pPr>
        <w:keepLines w:val="0"/>
      </w:pPr>
      <w:r>
        <w:rPr>
          <w:rFonts w:ascii="Arial Unicode MS" w:hAnsi="Arial Unicode MS" w:eastAsia="Arial Unicode MS" w:cs="Noto Sans TC"/>
          <w:b w:val="0"/>
        </w:rPr>
        <w:t>網站退款通常透過原始交易貨幣的原始付款路徑退回。如果法律、平台規則或支付技術阻止了這一點，我們將驗證訂單並解釋合法的替代方案及任何轉換。我們不會使用退款日期的網站參考匯率悄悄重新計算退款本金。第三方平台根據其規則處理自己的訂單。</w:t>
      </w:r>
    </w:p>
    <w:p>
      <w:pPr>
        <w:pStyle w:val="Heading1"/>
        <w:keepLines w:val="0"/>
      </w:pPr>
      <w:r>
        <w:rPr>
          <w:rFonts w:ascii="Arial Unicode MS" w:hAnsi="Arial Unicode MS" w:eastAsia="Arial Unicode MS" w:cs="Noto Sans TC"/>
          <w:b w:val="0"/>
        </w:rPr>
        <w:t>11. 退款金額、折扣與部分退款</w:t>
      </w:r>
    </w:p>
    <w:p>
      <w:pPr>
        <w:keepLines w:val="0"/>
      </w:pPr>
      <w:r>
        <w:rPr>
          <w:rFonts w:ascii="Arial Unicode MS" w:hAnsi="Arial Unicode MS" w:eastAsia="Arial Unicode MS" w:cs="Noto Sans TC"/>
          <w:b w:val="0"/>
        </w:rPr>
        <w:t>全額退款基於原始交易貨幣和實際支付金額，而非未折扣的列表價格或後來的人民幣價格。因此，以 50.11 美元支付的網站訂單通常以 50.11 美元退款。部分退款從相同的原始貨幣金額計算，並四捨五入至該貨幣的最小單位，無需往返人民幣轉換。優惠券、促銷福利和單獨列出的稅款遵循訂單條款、適用法律和平台規則。後續的基本價格或匯率變化絕不會對已支付的訂單重新定價。</w:t>
      </w:r>
    </w:p>
    <w:p>
      <w:pPr>
        <w:keepLines w:val="0"/>
      </w:pPr>
      <w:r>
        <w:rPr>
          <w:rFonts w:ascii="Arial Unicode MS" w:hAnsi="Arial Unicode MS" w:eastAsia="Arial Unicode MS" w:cs="Noto Sans TC"/>
          <w:b w:val="0"/>
        </w:rPr>
        <w:t>平台佣金和支付處理費用是業務成本，不是從合法可退還的產品本金中自動扣除。30% 的平台佣金並不意味著固定的 70% 消費者退款。法律允許的獨立收費第三方費用遵循第三方的規則，並且與產品退款分開。</w:t>
      </w:r>
    </w:p>
    <w:p>
      <w:pPr>
        <w:keepLines w:val="0"/>
      </w:pPr>
      <w:r>
        <w:rPr>
          <w:rFonts w:ascii="Arial Unicode MS" w:hAnsi="Arial Unicode MS" w:eastAsia="Arial Unicode MS" w:cs="Noto Sans TC"/>
          <w:b w:val="0"/>
        </w:rPr>
        <w:t>發卡機構、網絡及支付供應商可能在不同日期與匯率下，將原幣購買與退款轉換為持卡人的帳單貨幣。即使已全額退還原幣款項，信用卡的本幣貸記金額仍可能與原始借記金額不同。網站每日參考匯率無法補償此類第三方外匯差異或費用，且受營運者任何適用法律責任之約束。</w:t>
      </w:r>
    </w:p>
    <w:p>
      <w:pPr>
        <w:pStyle w:val="Heading1"/>
        <w:keepLines w:val="0"/>
      </w:pPr>
      <w:r>
        <w:rPr>
          <w:rFonts w:ascii="Arial Unicode MS" w:hAnsi="Arial Unicode MS" w:eastAsia="Arial Unicode MS" w:cs="Noto Sans TC"/>
          <w:b w:val="0"/>
        </w:rPr>
        <w:t>12. 常見情境指引</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情境</w:t>
            </w:r>
          </w:p>
        </w:tc>
        <w:tc>
          <w:tcPr>
            <w:tcW w:type="dxa" w:w="3249"/>
            <w:vAlign w:val="center"/>
            <w:shd w:fill="DCE8F7"/>
          </w:tcPr>
          <w:p>
            <w:pPr>
              <w:keepNext/>
              <w:spacing w:after="40"/>
            </w:pPr>
            <w:r>
              <w:rPr>
                <w:rFonts w:ascii="Arial Unicode MS" w:hAnsi="Arial Unicode MS" w:eastAsia="Arial Unicode MS" w:cs="Noto Sans TC"/>
                <w:b/>
                <w:sz w:val="17"/>
              </w:rPr>
              <w:t>一般處理程序</w:t>
            </w:r>
          </w:p>
        </w:tc>
        <w:tc>
          <w:tcPr>
            <w:tcW w:type="dxa" w:w="3249"/>
            <w:vAlign w:val="center"/>
            <w:shd w:fill="DCE8F7"/>
          </w:tcPr>
          <w:p>
            <w:pPr>
              <w:keepNext/>
              <w:spacing w:after="40"/>
            </w:pPr>
            <w:r>
              <w:rPr>
                <w:rFonts w:ascii="Arial Unicode MS" w:hAnsi="Arial Unicode MS" w:eastAsia="Arial Unicode MS" w:cs="Noto Sans TC"/>
                <w:b/>
                <w:sz w:val="17"/>
              </w:rPr>
              <w:t>虛擬權益</w:t>
            </w:r>
          </w:p>
        </w:tc>
      </w:tr>
      <w:tr>
        <w:trPr>
          <w:cantSplit/>
        </w:trPr>
        <w:tc>
          <w:tcPr>
            <w:tcW w:type="dxa" w:w="3249"/>
            <w:vAlign w:val="center"/>
          </w:tcPr>
          <w:p>
            <w:pPr>
              <w:spacing w:after="40"/>
            </w:pPr>
            <w:r>
              <w:rPr>
                <w:rFonts w:ascii="Arial Unicode MS" w:hAnsi="Arial Unicode MS" w:eastAsia="Arial Unicode MS" w:cs="Noto Sans TC"/>
                <w:sz w:val="17"/>
              </w:rPr>
              <w:t>重複扣款</w:t>
            </w:r>
          </w:p>
        </w:tc>
        <w:tc>
          <w:tcPr>
            <w:tcW w:type="dxa" w:w="3249"/>
            <w:vAlign w:val="center"/>
          </w:tcPr>
          <w:p>
            <w:pPr>
              <w:spacing w:after="40"/>
            </w:pPr>
            <w:r>
              <w:rPr>
                <w:rFonts w:ascii="Arial Unicode MS" w:hAnsi="Arial Unicode MS" w:eastAsia="Arial Unicode MS" w:cs="Noto Sans TC"/>
                <w:sz w:val="17"/>
              </w:rPr>
              <w:t>驗證並退還重複付款。</w:t>
            </w:r>
          </w:p>
        </w:tc>
        <w:tc>
          <w:tcPr>
            <w:tcW w:type="dxa" w:w="3249"/>
            <w:vAlign w:val="center"/>
          </w:tcPr>
          <w:p>
            <w:pPr>
              <w:spacing w:after="40"/>
            </w:pPr>
            <w:r>
              <w:rPr>
                <w:rFonts w:ascii="Arial Unicode MS" w:hAnsi="Arial Unicode MS" w:eastAsia="Arial Unicode MS" w:cs="Noto Sans TC"/>
                <w:sz w:val="17"/>
              </w:rPr>
              <w:t>撤銷重複授予；保留有效購買。</w:t>
            </w:r>
          </w:p>
        </w:tc>
      </w:tr>
      <w:tr>
        <w:trPr>
          <w:cantSplit/>
        </w:trPr>
        <w:tc>
          <w:tcPr>
            <w:tcW w:type="dxa" w:w="3249"/>
            <w:vAlign w:val="center"/>
          </w:tcPr>
          <w:p>
            <w:pPr>
              <w:spacing w:after="40"/>
            </w:pPr>
            <w:r>
              <w:rPr>
                <w:rFonts w:ascii="Arial Unicode MS" w:hAnsi="Arial Unicode MS" w:eastAsia="Arial Unicode MS" w:cs="Noto Sans TC"/>
                <w:sz w:val="17"/>
              </w:rPr>
              <w:t>已付款但未交付</w:t>
            </w:r>
          </w:p>
        </w:tc>
        <w:tc>
          <w:tcPr>
            <w:tcW w:type="dxa" w:w="3249"/>
            <w:vAlign w:val="center"/>
          </w:tcPr>
          <w:p>
            <w:pPr>
              <w:spacing w:after="40"/>
            </w:pPr>
            <w:r>
              <w:rPr>
                <w:rFonts w:ascii="Arial Unicode MS" w:hAnsi="Arial Unicode MS" w:eastAsia="Arial Unicode MS" w:cs="Noto Sans TC"/>
                <w:sz w:val="17"/>
              </w:rPr>
              <w:t>在可行情況下交付商品；否則根據適用規則退款。</w:t>
            </w:r>
          </w:p>
        </w:tc>
        <w:tc>
          <w:tcPr>
            <w:tcW w:type="dxa" w:w="3249"/>
            <w:vAlign w:val="center"/>
          </w:tcPr>
          <w:p>
            <w:pPr>
              <w:spacing w:after="40"/>
            </w:pPr>
            <w:r>
              <w:rPr>
                <w:rFonts w:ascii="Arial Unicode MS" w:hAnsi="Arial Unicode MS" w:eastAsia="Arial Unicode MS" w:cs="Noto Sans TC"/>
                <w:sz w:val="17"/>
              </w:rPr>
              <w:t>若未授予任何內容，則無需追回。</w:t>
            </w:r>
          </w:p>
        </w:tc>
      </w:tr>
      <w:tr>
        <w:trPr>
          <w:cantSplit/>
        </w:trPr>
        <w:tc>
          <w:tcPr>
            <w:tcW w:type="dxa" w:w="3249"/>
            <w:vAlign w:val="center"/>
          </w:tcPr>
          <w:p>
            <w:pPr>
              <w:spacing w:after="40"/>
            </w:pPr>
            <w:r>
              <w:rPr>
                <w:rFonts w:ascii="Arial Unicode MS" w:hAnsi="Arial Unicode MS" w:eastAsia="Arial Unicode MS" w:cs="Noto Sans TC"/>
                <w:sz w:val="17"/>
              </w:rPr>
              <w:t>對寶箱結果不滿</w:t>
            </w:r>
          </w:p>
        </w:tc>
        <w:tc>
          <w:tcPr>
            <w:tcW w:type="dxa" w:w="3249"/>
            <w:vAlign w:val="center"/>
          </w:tcPr>
          <w:p>
            <w:pPr>
              <w:spacing w:after="40"/>
            </w:pPr>
            <w:r>
              <w:rPr>
                <w:rFonts w:ascii="Arial Unicode MS" w:hAnsi="Arial Unicode MS" w:eastAsia="Arial Unicode MS" w:cs="Noto Sans TC"/>
                <w:sz w:val="17"/>
              </w:rPr>
              <w:t>通常不构成退款理由，但受法定權利或規則錯誤影響。</w:t>
            </w:r>
          </w:p>
        </w:tc>
        <w:tc>
          <w:tcPr>
            <w:tcW w:type="dxa" w:w="3249"/>
            <w:vAlign w:val="center"/>
          </w:tcPr>
          <w:p>
            <w:pPr>
              <w:spacing w:after="40"/>
            </w:pPr>
            <w:r>
              <w:rPr>
                <w:rFonts w:ascii="Arial Unicode MS" w:hAnsi="Arial Unicode MS" w:eastAsia="Arial Unicode MS" w:cs="Noto Sans TC"/>
                <w:sz w:val="17"/>
              </w:rPr>
              <w:t>有效結果通常仍然有效。</w:t>
            </w:r>
          </w:p>
        </w:tc>
      </w:tr>
      <w:tr>
        <w:trPr>
          <w:cantSplit/>
        </w:trPr>
        <w:tc>
          <w:tcPr>
            <w:tcW w:type="dxa" w:w="3249"/>
            <w:vAlign w:val="center"/>
          </w:tcPr>
          <w:p>
            <w:pPr>
              <w:spacing w:after="40"/>
            </w:pPr>
            <w:r>
              <w:rPr>
                <w:rFonts w:ascii="Arial Unicode MS" w:hAnsi="Arial Unicode MS" w:eastAsia="Arial Unicode MS" w:cs="Noto Sans TC"/>
                <w:sz w:val="17"/>
              </w:rPr>
              <w:t>披露的賠率或內容不正確</w:t>
            </w:r>
          </w:p>
        </w:tc>
        <w:tc>
          <w:tcPr>
            <w:tcW w:type="dxa" w:w="3249"/>
            <w:vAlign w:val="center"/>
          </w:tcPr>
          <w:p>
            <w:pPr>
              <w:spacing w:after="40"/>
            </w:pPr>
            <w:r>
              <w:rPr>
                <w:rFonts w:ascii="Arial Unicode MS" w:hAnsi="Arial Unicode MS" w:eastAsia="Arial Unicode MS" w:cs="Noto Sans TC"/>
                <w:sz w:val="17"/>
              </w:rPr>
              <w:t>調查、糾正、賠償或按要求退款。</w:t>
            </w:r>
          </w:p>
        </w:tc>
        <w:tc>
          <w:tcPr>
            <w:tcW w:type="dxa" w:w="3249"/>
            <w:vAlign w:val="center"/>
          </w:tcPr>
          <w:p>
            <w:pPr>
              <w:spacing w:after="40"/>
            </w:pPr>
            <w:r>
              <w:rPr>
                <w:rFonts w:ascii="Arial Unicode MS" w:hAnsi="Arial Unicode MS" w:eastAsia="Arial Unicode MS" w:cs="Noto Sans TC"/>
                <w:sz w:val="17"/>
              </w:rPr>
              <w:t>調整受影響的訂單和權益。</w:t>
            </w:r>
          </w:p>
        </w:tc>
      </w:tr>
      <w:tr>
        <w:trPr>
          <w:cantSplit/>
        </w:trPr>
        <w:tc>
          <w:tcPr>
            <w:tcW w:type="dxa" w:w="3249"/>
            <w:vAlign w:val="center"/>
          </w:tcPr>
          <w:p>
            <w:pPr>
              <w:spacing w:after="40"/>
            </w:pPr>
            <w:r>
              <w:rPr>
                <w:rFonts w:ascii="Arial Unicode MS" w:hAnsi="Arial Unicode MS" w:eastAsia="Arial Unicode MS" w:cs="Noto Sans TC"/>
                <w:sz w:val="17"/>
              </w:rPr>
              <w:t>未使用的數位項目</w:t>
            </w:r>
          </w:p>
        </w:tc>
        <w:tc>
          <w:tcPr>
            <w:tcW w:type="dxa" w:w="3249"/>
            <w:vAlign w:val="center"/>
          </w:tcPr>
          <w:p>
            <w:pPr>
              <w:spacing w:after="40"/>
            </w:pPr>
            <w:r>
              <w:rPr>
                <w:rFonts w:ascii="Arial Unicode MS" w:hAnsi="Arial Unicode MS" w:eastAsia="Arial Unicode MS" w:cs="Noto Sans TC"/>
                <w:sz w:val="17"/>
              </w:rPr>
              <w:t>申請可根據法律和技術可恢復性進行審查。</w:t>
            </w:r>
          </w:p>
        </w:tc>
        <w:tc>
          <w:tcPr>
            <w:tcW w:type="dxa" w:w="3249"/>
            <w:vAlign w:val="center"/>
          </w:tcPr>
          <w:p>
            <w:pPr>
              <w:spacing w:after="40"/>
            </w:pPr>
            <w:r>
              <w:rPr>
                <w:rFonts w:ascii="Arial Unicode MS" w:hAnsi="Arial Unicode MS" w:eastAsia="Arial Unicode MS" w:cs="Noto Sans TC"/>
                <w:sz w:val="17"/>
              </w:rPr>
              <w:t>由退費涵蓋的權利反轉。</w:t>
            </w:r>
          </w:p>
        </w:tc>
      </w:tr>
      <w:tr>
        <w:trPr>
          <w:cantSplit/>
        </w:trPr>
        <w:tc>
          <w:tcPr>
            <w:tcW w:type="dxa" w:w="3249"/>
            <w:vAlign w:val="center"/>
          </w:tcPr>
          <w:p>
            <w:pPr>
              <w:spacing w:after="40"/>
            </w:pPr>
            <w:r>
              <w:rPr>
                <w:rFonts w:ascii="Arial Unicode MS" w:hAnsi="Arial Unicode MS" w:eastAsia="Arial Unicode MS" w:cs="Noto Sans TC"/>
                <w:sz w:val="17"/>
              </w:rPr>
              <w:t>匯率在進行外幣退費前發生變動</w:t>
            </w:r>
          </w:p>
        </w:tc>
        <w:tc>
          <w:tcPr>
            <w:tcW w:type="dxa" w:w="3249"/>
            <w:vAlign w:val="center"/>
          </w:tcPr>
          <w:p>
            <w:pPr>
              <w:spacing w:after="40"/>
            </w:pPr>
            <w:r>
              <w:rPr>
                <w:rFonts w:ascii="Arial Unicode MS" w:hAnsi="Arial Unicode MS" w:eastAsia="Arial Unicode MS" w:cs="Noto Sans TC"/>
                <w:sz w:val="17"/>
              </w:rPr>
              <w:t>使用原始交易貨幣及實際支付金額；不得按退費日匯率重新計價。</w:t>
            </w:r>
          </w:p>
        </w:tc>
        <w:tc>
          <w:tcPr>
            <w:tcW w:type="dxa" w:w="3249"/>
            <w:vAlign w:val="center"/>
          </w:tcPr>
          <w:p>
            <w:pPr>
              <w:spacing w:after="40"/>
            </w:pPr>
            <w:r>
              <w:rPr>
                <w:rFonts w:ascii="Arial Unicode MS" w:hAnsi="Arial Unicode MS" w:eastAsia="Arial Unicode MS" w:cs="Noto Sans TC"/>
                <w:sz w:val="17"/>
              </w:rPr>
              <w:t>在退費範圍內調整權利。</w:t>
            </w:r>
          </w:p>
        </w:tc>
      </w:tr>
      <w:tr>
        <w:trPr>
          <w:cantSplit/>
        </w:trPr>
        <w:tc>
          <w:tcPr>
            <w:tcW w:type="dxa" w:w="3249"/>
            <w:vAlign w:val="center"/>
          </w:tcPr>
          <w:p>
            <w:pPr>
              <w:spacing w:after="40"/>
            </w:pPr>
            <w:r>
              <w:rPr>
                <w:rFonts w:ascii="Arial Unicode MS" w:hAnsi="Arial Unicode MS" w:eastAsia="Arial Unicode MS" w:cs="Noto Sans TC"/>
                <w:sz w:val="17"/>
              </w:rPr>
              <w:t>未成年人相關購買</w:t>
            </w:r>
          </w:p>
        </w:tc>
        <w:tc>
          <w:tcPr>
            <w:tcW w:type="dxa" w:w="3249"/>
            <w:vAlign w:val="center"/>
          </w:tcPr>
          <w:p>
            <w:pPr>
              <w:spacing w:after="40"/>
            </w:pPr>
            <w:r>
              <w:rPr>
                <w:rFonts w:ascii="Arial Unicode MS" w:hAnsi="Arial Unicode MS" w:eastAsia="Arial Unicode MS" w:cs="Noto Sans TC"/>
                <w:sz w:val="17"/>
              </w:rPr>
              <w:t>依法審查。在批准並完成全部或實質上全部的退費後，永久限制相關的遊戲帳號。</w:t>
            </w:r>
          </w:p>
        </w:tc>
        <w:tc>
          <w:tcPr>
            <w:tcW w:type="dxa" w:w="3249"/>
            <w:vAlign w:val="center"/>
          </w:tcPr>
          <w:p>
            <w:pPr>
              <w:spacing w:after="40"/>
            </w:pPr>
            <w:r>
              <w:rPr>
                <w:rFonts w:ascii="Arial Unicode MS" w:hAnsi="Arial Unicode MS" w:eastAsia="Arial Unicode MS" w:cs="Noto Sans TC"/>
                <w:sz w:val="17"/>
              </w:rPr>
              <w:t>在不減少退費的情況下恢復關聯權利；若發生錯誤，仍可提供人工修正。</w:t>
            </w:r>
          </w:p>
        </w:tc>
      </w:tr>
      <w:tr>
        <w:trPr>
          <w:cantSplit/>
        </w:trPr>
        <w:tc>
          <w:tcPr>
            <w:tcW w:type="dxa" w:w="3249"/>
            <w:vAlign w:val="center"/>
          </w:tcPr>
          <w:p>
            <w:pPr>
              <w:spacing w:after="40"/>
            </w:pPr>
            <w:r>
              <w:rPr>
                <w:rFonts w:ascii="Arial Unicode MS" w:hAnsi="Arial Unicode MS" w:eastAsia="Arial Unicode MS" w:cs="Noto Sans TC"/>
                <w:sz w:val="17"/>
              </w:rPr>
              <w:t>Apple、Google Play 或 Steam 訂單</w:t>
            </w:r>
          </w:p>
        </w:tc>
        <w:tc>
          <w:tcPr>
            <w:tcW w:type="dxa" w:w="3249"/>
            <w:vAlign w:val="center"/>
          </w:tcPr>
          <w:p>
            <w:pPr>
              <w:spacing w:after="40"/>
            </w:pPr>
            <w:r>
              <w:rPr>
                <w:rFonts w:ascii="Arial Unicode MS" w:hAnsi="Arial Unicode MS" w:eastAsia="Arial Unicode MS" w:cs="Noto Sans TC"/>
                <w:sz w:val="17"/>
              </w:rPr>
              <w:t>平台規則與適用法律決定資格、貨幣、金額與退款路徑。</w:t>
            </w:r>
          </w:p>
        </w:tc>
        <w:tc>
          <w:tcPr>
            <w:tcW w:type="dxa" w:w="3249"/>
            <w:vAlign w:val="center"/>
          </w:tcPr>
          <w:p>
            <w:pPr>
              <w:spacing w:after="40"/>
            </w:pPr>
            <w:r>
              <w:rPr>
                <w:rFonts w:ascii="Arial Unicode MS" w:hAnsi="Arial Unicode MS" w:eastAsia="Arial Unicode MS" w:cs="Noto Sans TC"/>
                <w:sz w:val="17"/>
              </w:rPr>
              <w:t>根據可驗證的退費結果調整權利。</w:t>
            </w:r>
          </w:p>
        </w:tc>
      </w:tr>
      <w:tr>
        <w:trPr>
          <w:cantSplit/>
        </w:trPr>
        <w:tc>
          <w:tcPr>
            <w:tcW w:type="dxa" w:w="3249"/>
            <w:vAlign w:val="center"/>
          </w:tcPr>
          <w:p>
            <w:pPr>
              <w:spacing w:after="40"/>
            </w:pPr>
            <w:r>
              <w:rPr>
                <w:rFonts w:ascii="Arial Unicode MS" w:hAnsi="Arial Unicode MS" w:eastAsia="Arial Unicode MS" w:cs="Noto Sans TC"/>
                <w:sz w:val="17"/>
              </w:rPr>
              <w:t>盜用或未授權付款</w:t>
            </w:r>
          </w:p>
        </w:tc>
        <w:tc>
          <w:tcPr>
            <w:tcW w:type="dxa" w:w="3249"/>
            <w:vAlign w:val="center"/>
          </w:tcPr>
          <w:p>
            <w:pPr>
              <w:spacing w:after="40"/>
            </w:pPr>
            <w:r>
              <w:rPr>
                <w:rFonts w:ascii="Arial Unicode MS" w:hAnsi="Arial Unicode MS" w:eastAsia="Arial Unicode MS" w:cs="Noto Sans TC"/>
                <w:sz w:val="17"/>
              </w:rPr>
              <w:t>與付款供應商合作；不要自動將其分類為未成年人退費。</w:t>
            </w:r>
          </w:p>
        </w:tc>
        <w:tc>
          <w:tcPr>
            <w:tcW w:type="dxa" w:w="3249"/>
            <w:vAlign w:val="center"/>
          </w:tcPr>
          <w:p>
            <w:pPr>
              <w:spacing w:after="40"/>
            </w:pPr>
            <w:r>
              <w:rPr>
                <w:rFonts w:ascii="Arial Unicode MS" w:hAnsi="Arial Unicode MS" w:eastAsia="Arial Unicode MS" w:cs="Noto Sans TC"/>
                <w:sz w:val="17"/>
              </w:rPr>
              <w:t>在驗證期間保障爭議權益。</w:t>
            </w:r>
          </w:p>
        </w:tc>
      </w:tr>
      <w:tr>
        <w:trPr>
          <w:cantSplit/>
        </w:trPr>
        <w:tc>
          <w:tcPr>
            <w:tcW w:type="dxa" w:w="3249"/>
            <w:vAlign w:val="center"/>
          </w:tcPr>
          <w:p>
            <w:pPr>
              <w:spacing w:after="40"/>
            </w:pPr>
            <w:r>
              <w:rPr>
                <w:rFonts w:ascii="Arial Unicode MS" w:hAnsi="Arial Unicode MS" w:eastAsia="Arial Unicode MS" w:cs="Noto Sans TC"/>
                <w:sz w:val="17"/>
              </w:rPr>
              <w:t>欺詐性拒付或退費申請</w:t>
            </w:r>
          </w:p>
        </w:tc>
        <w:tc>
          <w:tcPr>
            <w:tcW w:type="dxa" w:w="3249"/>
            <w:vAlign w:val="center"/>
          </w:tcPr>
          <w:p>
            <w:pPr>
              <w:spacing w:after="40"/>
            </w:pPr>
            <w:r>
              <w:rPr>
                <w:rFonts w:ascii="Arial Unicode MS" w:hAnsi="Arial Unicode MS" w:eastAsia="Arial Unicode MS" w:cs="Noto Sans TC"/>
                <w:sz w:val="17"/>
              </w:rPr>
              <w:t>依據適用法律與玩家規則評估證據。</w:t>
            </w:r>
          </w:p>
        </w:tc>
        <w:tc>
          <w:tcPr>
            <w:tcW w:type="dxa" w:w="3249"/>
            <w:vAlign w:val="center"/>
          </w:tcPr>
          <w:p>
            <w:pPr>
              <w:spacing w:after="40"/>
            </w:pPr>
            <w:r>
              <w:rPr>
                <w:rFonts w:ascii="Arial Unicode MS" w:hAnsi="Arial Unicode MS" w:eastAsia="Arial Unicode MS" w:cs="Noto Sans TC"/>
                <w:sz w:val="17"/>
              </w:rPr>
              <w:t>異常收益可能被凍結或追回。</w:t>
            </w:r>
          </w:p>
        </w:tc>
      </w:tr>
    </w:tbl>
    <w:p>
      <w:pPr>
        <w:spacing w:after="40"/>
      </w:pPr>
    </w:p>
    <w:p>
      <w:pPr>
        <w:pStyle w:val="Heading1"/>
        <w:keepLines w:val="0"/>
      </w:pPr>
      <w:r>
        <w:rPr>
          <w:rFonts w:ascii="Arial Unicode MS" w:hAnsi="Arial Unicode MS" w:eastAsia="Arial Unicode MS" w:cs="Noto Sans TC"/>
          <w:b w:val="0"/>
        </w:rPr>
        <w:t>13. 區域補充規則</w:t>
      </w:r>
    </w:p>
    <w:p>
      <w:pPr>
        <w:pStyle w:val="Heading1"/>
        <w:keepLines w:val="0"/>
      </w:pPr>
      <w:r>
        <w:rPr>
          <w:rFonts w:ascii="Arial Unicode MS" w:hAnsi="Arial Unicode MS" w:eastAsia="Arial Unicode MS" w:cs="Noto Sans TC"/>
          <w:b w:val="0"/>
        </w:rPr>
        <w:t>13.1 中國大陸</w:t>
      </w:r>
    </w:p>
    <w:p>
      <w:pPr>
        <w:keepLines w:val="0"/>
      </w:pPr>
      <w:r>
        <w:rPr>
          <w:rFonts w:ascii="Arial Unicode MS" w:hAnsi="Arial Unicode MS" w:eastAsia="Arial Unicode MS" w:cs="Noto Sans TC"/>
          <w:b w:val="0"/>
        </w:rPr>
        <w:t>官方網站上數位商品是否適用七天無理由退貨政策，應依據《消費者權益保護法》，考量商品性質、交付方式以及購買前是否提供明確提示或確認來判定。本條款不得使用格式條款排除任何依法不可排除之退費、終止或賠償權利。</w:t>
      </w:r>
    </w:p>
    <w:p>
      <w:pPr>
        <w:keepLines w:val="0"/>
      </w:pPr>
      <w:r>
        <w:rPr>
          <w:rFonts w:ascii="Arial Unicode MS" w:hAnsi="Arial Unicode MS" w:eastAsia="Arial Unicode MS" w:cs="Noto Sans TC"/>
          <w:b w:val="0"/>
        </w:rPr>
        <w:t>對於數位商品，有關無因退貨、隨機物品購買的風險、重大限制、交付與退費條件以及其他對消費者具重大利益的條款，應在購買前顯著顯示，並在必要時取得用戶確認。</w:t>
      </w:r>
    </w:p>
    <w:p>
      <w:pPr>
        <w:keepLines w:val="0"/>
      </w:pPr>
      <w:r>
        <w:rPr>
          <w:rFonts w:ascii="Arial Unicode MS" w:hAnsi="Arial Unicode MS" w:eastAsia="Arial Unicode MS" w:cs="Noto Sans TC"/>
          <w:b w:val="0"/>
        </w:rPr>
        <w:t>盲盒類商品在中華人民共和國境內正式上線前，須接受合規審查；若當時適用規則禁止使用法定貨幣或虛擬貨幣直接參與抽獎，銷售模式將進行調整或該功能暫停。</w:t>
      </w:r>
    </w:p>
    <w:p>
      <w:pPr>
        <w:pStyle w:val="Heading1"/>
        <w:keepLines w:val="0"/>
      </w:pPr>
      <w:r>
        <w:rPr>
          <w:rFonts w:ascii="Arial Unicode MS" w:hAnsi="Arial Unicode MS" w:eastAsia="Arial Unicode MS" w:cs="Noto Sans TC"/>
          <w:b w:val="0"/>
        </w:rPr>
        <w:t>13.2 美國</w:t>
      </w:r>
    </w:p>
    <w:p>
      <w:pPr>
        <w:keepLines w:val="0"/>
      </w:pPr>
      <w:r>
        <w:rPr>
          <w:rFonts w:ascii="Arial Unicode MS" w:hAnsi="Arial Unicode MS" w:eastAsia="Arial Unicode MS" w:cs="Noto Sans TC"/>
          <w:b w:val="0"/>
        </w:rPr>
        <w:t>本使用條款不排除聯邦或州消費者保護法賦予且不可放棄的任何消費者保護權利。購買流程應取得明確且肯定的同意，避免誤導性按鈕、隱藏費用或不清晰的購買確認。關於未經授權的購買及實際付款爭議，應依照適用法律、支付網絡及平台規則處理。</w:t>
      </w:r>
    </w:p>
    <w:p>
      <w:pPr>
        <w:pStyle w:val="Heading1"/>
        <w:keepLines w:val="0"/>
      </w:pPr>
      <w:r>
        <w:rPr>
          <w:rFonts w:ascii="Arial Unicode MS" w:hAnsi="Arial Unicode MS" w:eastAsia="Arial Unicode MS" w:cs="Noto Sans TC"/>
          <w:b w:val="0"/>
        </w:rPr>
        <w:t>13.3 日本</w:t>
      </w:r>
    </w:p>
    <w:p>
      <w:pPr>
        <w:keepLines w:val="0"/>
      </w:pPr>
      <w:r>
        <w:rPr>
          <w:rFonts w:ascii="Arial Unicode MS" w:hAnsi="Arial Unicode MS" w:eastAsia="Arial Unicode MS" w:cs="Noto Sans TC"/>
          <w:b w:val="0"/>
        </w:rPr>
        <w:t>當針對日本用戶進行官方網站銷售時，運營商應在产品頁面或專屬頁面提供「特定商業交易法」要求的法定披露資訊，包括賣家的真實資訊、價格、付款方式、交付時間、取消/終止條件以及退款政策。這些條款不取代「特定商業交易法」下的強制披露要求。</w:t>
      </w:r>
    </w:p>
    <w:p>
      <w:pPr>
        <w:keepLines w:val="0"/>
      </w:pPr>
      <w:r>
        <w:rPr>
          <w:rFonts w:ascii="Arial Unicode MS" w:hAnsi="Arial Unicode MS" w:eastAsia="Arial Unicode MS" w:cs="Noto Sans TC"/>
          <w:b w:val="0"/>
        </w:rPr>
        <w:t>日本線上銷售適用的冷靜期並不自動適用與實體商店相同的機制，具體的退貨或取消條件必須在廣告頁面和最終確認頁面上清楚顯示。然而，如果產品存在缺陷、虛假陳述或法律另有規定，用戶仍保留其相應的法定救濟權利。</w:t>
      </w:r>
    </w:p>
    <w:p>
      <w:pPr>
        <w:pStyle w:val="Heading1"/>
        <w:keepLines w:val="0"/>
      </w:pPr>
      <w:r>
        <w:rPr>
          <w:rFonts w:ascii="Arial Unicode MS" w:hAnsi="Arial Unicode MS" w:eastAsia="Arial Unicode MS" w:cs="Noto Sans TC"/>
          <w:b w:val="0"/>
        </w:rPr>
        <w:t>14. 退款政策與玩家違規處罰之間的界線</w:t>
      </w:r>
    </w:p>
    <w:p>
      <w:pPr>
        <w:keepLines w:val="0"/>
      </w:pPr>
      <w:r>
        <w:rPr>
          <w:rFonts w:ascii="Arial Unicode MS" w:hAnsi="Arial Unicode MS" w:eastAsia="Arial Unicode MS" w:cs="Noto Sans TC"/>
          <w:b w:val="0"/>
        </w:rPr>
        <w:t>退款旨在解決真實的購買爭議。普通退款、善意投訴和真實拒付不會自動導致永久隔離。一旦小額購買經核實，且根據第7條已獲批准的完全或部分退款實際完成，相關遊戲帳戶將永久失去正常遊戲訪問權限。該帳戶可登入專用受限區域，但無法進入普通世界、商店、交易、活動或正常的社交與經濟玩法，也無法通過常規任務、物品、旅行或重新登入來解除。遊戲將此描繪為監獄地圖和無期徒刑；這是一種遊戲服務狀態，而非刑事判決，且不減少任何依法應退還的金額。</w:t>
      </w:r>
    </w:p>
    <w:p>
      <w:pPr>
        <w:keepLines w:val="0"/>
      </w:pPr>
      <w:r>
        <w:rPr>
          <w:rFonts w:ascii="Arial Unicode MS" w:hAnsi="Arial Unicode MS" w:eastAsia="Arial Unicode MS" w:cs="Noto Sans TC"/>
          <w:b w:val="0"/>
        </w:rPr>
        <w:t>此限制僅適用於相關遊戲帳號，不會自動套用於整個 DAWNBLOOM 帳號或其他應用程式。若因年齡誤植、監護權歸屬、訂單歸因、退款狀態或帳號關聯錯誤而產生爭議，可透過客服提出異議。僅經授權且具紀錄的人工修正程序，方可撤銷錯誤的限制。若有獨立舉證的詐騙行為或其他違規情事，將依據《玩家守則》與《執法政策》處理。</w:t>
      </w:r>
    </w:p>
    <w:p>
      <w:pPr>
        <w:pStyle w:val="Heading1"/>
        <w:keepLines w:val="0"/>
      </w:pPr>
      <w:r>
        <w:rPr>
          <w:rFonts w:ascii="Arial Unicode MS" w:hAnsi="Arial Unicode MS" w:eastAsia="Arial Unicode MS" w:cs="Noto Sans TC"/>
          <w:b w:val="0"/>
        </w:rPr>
        <w:t>15. 服務中斷、重大變更與服務終止</w:t>
      </w:r>
    </w:p>
    <w:p>
      <w:pPr>
        <w:keepLines w:val="0"/>
      </w:pPr>
      <w:r>
        <w:rPr>
          <w:rFonts w:ascii="Arial Unicode MS" w:hAnsi="Arial Unicode MS" w:eastAsia="Arial Unicode MS" w:cs="Noto Sans TC"/>
          <w:b w:val="0"/>
        </w:rPr>
        <w:t>若因營運商原因導致已購買且在有效期內的數位商品無法交付或使用達一段長時間，我們將根據適用法律、平台規則、商品性質及技術可恢復性，提供補救措施、替代權利、退款或其他合理解決方案。</w:t>
      </w:r>
    </w:p>
    <w:p>
      <w:pPr>
        <w:keepLines w:val="0"/>
      </w:pPr>
      <w:r>
        <w:rPr>
          <w:rFonts w:ascii="Arial Unicode MS" w:hAnsi="Arial Unicode MS" w:eastAsia="Arial Unicode MS" w:cs="Noto Sans TC"/>
          <w:b w:val="0"/>
        </w:rPr>
        <w:t>若法律要求終止相關線上遊戲服務，任何未使用的數位權利、虛擬貨幣或未履行的付費服務，將依照適用法律、監管規定、平台規則以及當時公佈的服務終止計劃進行處理。</w:t>
      </w:r>
    </w:p>
    <w:p>
      <w:pPr>
        <w:pStyle w:val="Heading1"/>
        <w:keepLines w:val="0"/>
      </w:pPr>
      <w:r>
        <w:rPr>
          <w:rFonts w:ascii="Arial Unicode MS" w:hAnsi="Arial Unicode MS" w:eastAsia="Arial Unicode MS" w:cs="Noto Sans TC"/>
          <w:b w:val="0"/>
        </w:rPr>
        <w:t>16. 條款更新與歷史版本</w:t>
      </w:r>
    </w:p>
    <w:p>
      <w:pPr>
        <w:keepLines w:val="0"/>
      </w:pPr>
      <w:r>
        <w:rPr>
          <w:rFonts w:ascii="Arial Unicode MS" w:hAnsi="Arial Unicode MS" w:eastAsia="Arial Unicode MS" w:cs="Noto Sans TC"/>
          <w:b w:val="0"/>
        </w:rPr>
        <w:t>重大變更將以顯著方式公布並註明版本、生效日期。本 V8 僅在正式生效後適用於其後新訂單及相關程序；既有訂單繼續以購買時明確顯示的交易條件和依法適用的規則為基礎，不因新條款溯及調整價格或剝奪法定權利。</w:t>
      </w:r>
    </w:p>
    <w:p>
      <w:pPr>
        <w:keepLines w:val="0"/>
      </w:pPr>
      <w:r>
        <w:rPr>
          <w:rFonts w:ascii="Arial Unicode MS" w:hAnsi="Arial Unicode MS" w:eastAsia="Arial Unicode MS" w:cs="Noto Sans TC"/>
          <w:b w:val="0"/>
        </w:rPr>
        <w:t>已完成之訂單原則上應受購買時有效之交易頁面、產品說明及適用規則規範；本條款新版本不應自動剝奪用戶已產生之任何法定權利。</w:t>
      </w:r>
    </w:p>
    <w:p>
      <w:pPr>
        <w:pStyle w:val="Heading1"/>
        <w:keepLines w:val="0"/>
      </w:pPr>
      <w:r>
        <w:rPr>
          <w:rFonts w:ascii="Arial Unicode MS" w:hAnsi="Arial Unicode MS" w:eastAsia="Arial Unicode MS" w:cs="Noto Sans TC"/>
          <w:b w:val="0"/>
        </w:rPr>
        <w:t>17. 聯繫我們與爭議解決</w:t>
      </w:r>
    </w:p>
    <w:p>
      <w:pPr>
        <w:keepLines w:val="0"/>
      </w:pPr>
      <w:r>
        <w:rPr>
          <w:rFonts w:ascii="Arial Unicode MS" w:hAnsi="Arial Unicode MS" w:eastAsia="Arial Unicode MS" w:cs="Noto Sans TC"/>
          <w:b w:val="0"/>
        </w:rPr>
        <w:t xml:space="preserve">帳單、付款與退款：</w:t>
      </w:r>
      <w:hyperlink r:id="rId14">
        <w:r>
          <w:rPr>
            <w:rFonts w:ascii="Arial Unicode MS" w:hAnsi="Arial Unicode MS" w:eastAsia="Arial Unicode MS"/>
            <w:b w:val="0"/>
          </w:rPr>
          <w:t xml:space="preserve">billing@dawnbloom.net</w:t>
        </w:r>
      </w:hyperlink>
      <w:r>
        <w:rPr>
          <w:rFonts w:ascii="Arial Unicode MS" w:hAnsi="Arial Unicode MS" w:eastAsia="Arial Unicode MS" w:cs="Noto Sans TC"/>
          <w:b w:val="0"/>
        </w:rPr>
        <w:t xml:space="preserve">；一般玩家客服：</w:t>
      </w:r>
      <w:hyperlink r:id="rId12">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；法律、版權與隱私相關諮詢：</w:t>
      </w:r>
      <w:hyperlink r:id="rId15">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Noto Sans TC"/>
          <w:b w:val="0"/>
        </w:rPr>
        <w:t>營運地址 / 官方聯絡地址：中國（上海）自由貿易試驗區臨港新片區天驕路336號3幢218室（Room 218, Building 3, No. 336 Tianjiao Road, Lin-gang Special Area of the China (Shanghai) Pilot Free Trade Zone, China）</w:t>
      </w:r>
    </w:p>
    <w:p>
      <w:pPr>
        <w:keepLines w:val="0"/>
      </w:pPr>
      <w:r>
        <w:rPr>
          <w:rFonts w:ascii="Arial Unicode MS" w:hAnsi="Arial Unicode MS" w:eastAsia="Arial Unicode MS" w:cs="Noto Sans TC"/>
          <w:b w:val="0"/>
        </w:rPr>
        <w:t>用戶可先透過客服提交訂單爭議與退款請求。若協商未能解決問題，用戶仍可依據適用法律，向消費者保護機構、支付機構、平台、仲裁或調解機構或有管轄權的法院尋求救濟。</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銷售與退款條款</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