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 w:cs="Noto Sans TC"/>
          <w:b/>
          <w:color w:val="142032"/>
          <w:sz w:val="40"/>
        </w:rPr>
        <w:t>DAWNBLOOM AI 使用條款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版本：V8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修訂日期：2026年10月10日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生效日期：2026年10月10日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提供主體：上海追光智创文化传媒有限公司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1. 提供主體、名稱與適用範圍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上海追光智创文化传媒有限公司 提供本服務。DAWNBLOOM AI 是本公司的智慧互動系統及技術服務品牌，光與精靈是同一服務體系面向使用者的智慧夥伴與互動形象。DAWNBLOOM AI 2.0 表示該智慧服務體系的公開版本，不表示本公司獨立訓練了基礎大型語言模型。 本條款與 DAWNBLOOM 服務條款、隱私政策、玩家守則及其他適用政策共同適用；本條款僅處理智慧服務的專屬事項，不減損法定權利。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2. 服務內容與語言界限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服務限於公開遊戲及產品知識問答、自然語言文字交流、玩家服務引導，以及實際開放的 Intelligent UI 介面功能；官網語言支援不擴及遊戲用戶端或六款軟體各自的語言範圍。目前不提供圖片生成或編輯、PDF、Word、投影片、試算表製作及通用辦公自動化。 官網版納入 20 種官網語言體系；遊戲內仍限中文、英語、日語、韓語四種語言。支援某種語言不代表提供該語言的人工客服或專業法律意見。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3. 公開知識與受保護資訊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知識問答限於經授權公開的遊戲、產品及客服資料。未公開劇情、任務、地圖、機率、公式、內部企劃、GM 資訊、安全措施及漏洞利用資料不向使用者開放。不得利用問答擷取受保護資料。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4. Intelligent UI 與使用者確認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Intelligent UI 將回答與可互動資料卡片、功能入口和確認介面結合。幻獸、裝備、物品、個人遊戲紀錄及帳號安全資訊，僅在該功能已開放、本人合法授權、後端確認身分及相應權限的範圍內提供。AI 回答、卡片或按鈕出現不等於操作已經執行；敏感操作須經過正式驗證、必要確認並以系統結果為準，不得繞過權限系統修改玩家資料或讀取他人非公開資訊。 明確標示的示範資料不是本人紀錄，也不證明真實查詢或操作成功。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5. 輸出準確性與重要資訊查證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 xml:space="preserve">AI 回答可能存在理解錯誤、遺漏或資訊延遲，不取代正式公告、遊戲規則、商品與退款條款、經授權查核的紀錄或人工複核結果。使用者應獨立查證重要資訊，可透過 </w:t>
      </w:r>
      <w:hyperlink r:id="rId11">
        <w:r>
          <w:rPr>
            <w:rFonts w:ascii="Arial Unicode MS" w:hAnsi="Arial Unicode MS" w:eastAsia="Arial Unicode MS"/>
            <w:b w:val="0"/>
          </w:rPr>
          <w:t xml:space="preserve">support@dawnbloom.net</w:t>
        </w:r>
      </w:hyperlink>
      <w:r>
        <w:rPr>
          <w:rFonts w:ascii="Arial Unicode MS" w:hAnsi="Arial Unicode MS" w:eastAsia="Arial Unicode MS" w:cs="Noto Sans TC"/>
          <w:b w:val="0"/>
        </w:rPr>
        <w:t xml:space="preserve"> 回報錯誤或提出申訴；AI 建議不會自行改變既有使用者權利或法定救濟。 AI 不對法律、醫療、金融或其他專業事務作出最終判斷。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6. 輸入與輸出的權利責任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使用者須有權提供輸入內容，不得提交侵害他人權利或違法的資訊。使用者對使用、傳播輸出的合法性及必要查證負責。本公司不因生成回答而授予第三方作品、商標或個人資料的權利；輸出依法存在的使用者權利與其他法定權利不受本條款排除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7. 安全使用與禁止濫用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不得攻擊、惡意大量擷取、冒用身分、繞過驗證碼或權限、提交惡意指令、竊取非公開內容或製造虛假官方承諾。請勿提供密碼、完整一次性驗證碼、支付密碼、權杖及其他不必要的敏感資訊。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8. 帳號資料與遊戲操作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個人幻獸、裝備、物品、資產和紀錄只能在本人合法授權與後端驗證的範圍內查看。AI 不取得 GM 權限，不直接改變資產、處罰或正式玩法；恢復、爭議與申訴由正式流程查核。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9. 未成年人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帳號及遊戲服務沿用既有年滿 18 歲的資格要求，不因 AI 服務而放寬。存取公開資料不等於允許註冊或使用遊戲帳號。涉及未成年人資訊時遵循適用保護要求，不以 AI 對話取代依法需要的監護人同意或查證。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10. 第三方模型與資料處理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技術串接採用阿里雲百煉（Alibaba Cloud Model Studio）的通義千問（Qwen）功能；模型串接使用日本東京區域端點。端點所在區域不代表全部使用者資料僅在日本處理，也不取代對實際服務協議、服務商日誌、訓練控制、留存設定及跨境義務的查核。OpenAI Codex 參與知識體系建置、功能開發、互動設計與持續最佳化，不因此自動取得使用者聊天資料，也不表示其訓練了 Qwen 基礎模型。 具體輸入、上下文、服務日誌、留存及訓練控制以現行《DAWNBLOOM 隱私政策》、適用的具體告知和實際服務協議為準。AI 專屬隱私說明仍在查核中，不以本條款取代資料處理事實的確認。未完成必要告知、授權與安全驗證前，不開放相應模型或個人資料處理。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11. 可用性、異常與服務調整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實際功能以已開放入口及正式服務狀態為準。維護、故障、安全事件、容量或供應商異常可能限制部分服務；我們按必要程度處理並透過適當管道告知重大變化。停止模型請求不等於註銷帳號，既有購買權益與法定救濟不因 AI 功能限制而當然失效。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12. 違規處理、申訴與更正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可根據實際風險採取流量限制、暫停相關智慧功能或適用玩家守則中的措施，並提供正式申訴管道。使用者可提交具體回答、提問時間及必要查證資料，請求更正；請遮蔽無關個人資訊。AI 回答本身不構成處罰裁定。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13. 停止使用與資料權利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 xml:space="preserve">使用者可停止聊天、撤回依法可撤回的同意、清除本機聊天紀錄，並透過 </w:t>
      </w:r>
      <w:hyperlink r:id="rId12">
        <w:r>
          <w:rPr>
            <w:rFonts w:ascii="Arial Unicode MS" w:hAnsi="Arial Unicode MS" w:eastAsia="Arial Unicode MS"/>
            <w:b w:val="0"/>
          </w:rPr>
          <w:t xml:space="preserve">legal@dawnbloom.net</w:t>
        </w:r>
      </w:hyperlink>
      <w:r>
        <w:rPr>
          <w:rFonts w:ascii="Arial Unicode MS" w:hAnsi="Arial Unicode MS" w:eastAsia="Arial Unicode MS" w:cs="Noto Sans TC"/>
          <w:b w:val="0"/>
        </w:rPr>
        <w:t xml:space="preserve"> 或正式客服提出查詢、更正、刪除、限制處理及申訴請求。清除本機紀錄不會自動刪除依法保留的服務日誌、業務工單或第三方紀錄；後續處理按實際資料類別、法定義務、安全及未結爭議需要進行，不影響既有權利。 停止使用不會使既有申訴、退款、隱私請求或法定救濟失效。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14. 更新、申訴與聯絡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 xml:space="preserve">重大條款或處理變更依適用法律告知並辦理必要程序，不溯及減損已成立的法定權利。法律與資料權利：</w:t>
      </w:r>
      <w:hyperlink r:id="rId12">
        <w:r>
          <w:rPr>
            <w:rFonts w:ascii="Arial Unicode MS" w:hAnsi="Arial Unicode MS" w:eastAsia="Arial Unicode MS"/>
            <w:b w:val="0"/>
          </w:rPr>
          <w:t xml:space="preserve">legal@dawnbloom.net</w:t>
        </w:r>
      </w:hyperlink>
      <w:r>
        <w:rPr>
          <w:rFonts w:ascii="Arial Unicode MS" w:hAnsi="Arial Unicode MS" w:eastAsia="Arial Unicode MS" w:cs="Noto Sans TC"/>
          <w:b w:val="0"/>
        </w:rPr>
        <w:t xml:space="preserve">；客服與更正：</w:t>
      </w:r>
      <w:hyperlink r:id="rId11">
        <w:r>
          <w:rPr>
            <w:rFonts w:ascii="Arial Unicode MS" w:hAnsi="Arial Unicode MS" w:eastAsia="Arial Unicode MS"/>
            <w:b w:val="0"/>
          </w:rPr>
          <w:t xml:space="preserve">support@dawnbloom.net</w:t>
        </w:r>
      </w:hyperlink>
      <w:r>
        <w:rPr>
          <w:rFonts w:ascii="Arial Unicode MS" w:hAnsi="Arial Unicode MS" w:eastAsia="Arial Unicode MS" w:cs="Noto Sans TC"/>
          <w:b w:val="0"/>
        </w:rPr>
        <w:t xml:space="preserve">；安全事件：</w:t>
      </w:r>
      <w:hyperlink r:id="rId13">
        <w:r>
          <w:rPr>
            <w:rFonts w:ascii="Arial Unicode MS" w:hAnsi="Arial Unicode MS" w:eastAsia="Arial Unicode MS"/>
            <w:b w:val="0"/>
          </w:rPr>
          <w:t xml:space="preserve">security@dawnbloom.net</w:t>
        </w:r>
      </w:hyperlink>
      <w:r>
        <w:rPr>
          <w:rFonts w:ascii="Arial Unicode MS" w:hAnsi="Arial Unicode MS" w:eastAsia="Arial Unicode MS" w:cs="Noto Sans TC"/>
          <w:b w:val="0"/>
        </w:rPr>
        <w:t xml:space="preserve">。法定聯絡地址沿用正式法律資訊。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mailto:legal@dawnbloom.net" TargetMode="External"/><Relationship Id="rId13" Type="http://schemas.openxmlformats.org/officeDocument/2006/relationships/hyperlink" Target="mailto:security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AI 使用條款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