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Điều khoản sử dụng DAWNBLOOM AI</w:t>
      </w:r>
    </w:p>
    <w:p>
      <w:pPr>
        <w:keepLines w:val="0"/>
      </w:pPr>
      <w:r>
        <w:rPr>
          <w:rFonts w:ascii="Noto Sans" w:hAnsi="Noto Sans" w:eastAsia="Noto Sans TC" w:cs="Noto Sans"/>
          <w:b w:val="0"/>
        </w:rPr>
        <w:t>Phiên bản: V8</w:t>
      </w:r>
    </w:p>
    <w:p>
      <w:pPr>
        <w:keepLines w:val="0"/>
      </w:pPr>
      <w:r>
        <w:rPr>
          <w:rFonts w:ascii="Noto Sans" w:hAnsi="Noto Sans" w:eastAsia="Noto Sans TC" w:cs="Noto Sans"/>
          <w:b w:val="0"/>
        </w:rPr>
        <w:t>Ngày sửa đổi: 10 tháng 10 năm 2026</w:t>
      </w:r>
    </w:p>
    <w:p>
      <w:pPr>
        <w:keepLines w:val="0"/>
      </w:pPr>
      <w:r>
        <w:rPr>
          <w:rFonts w:ascii="Noto Sans" w:hAnsi="Noto Sans" w:eastAsia="Noto Sans TC" w:cs="Noto Sans"/>
          <w:b w:val="0"/>
        </w:rPr>
        <w:t>Ngày có hiệu lực: 10 tháng 10 năm 2026</w:t>
      </w:r>
    </w:p>
    <w:p>
      <w:pPr>
        <w:keepLines w:val="0"/>
      </w:pPr>
      <w:r>
        <w:rPr>
          <w:rFonts w:ascii="Noto Sans" w:hAnsi="Noto Sans" w:eastAsia="Noto Sans TC" w:cs="Noto Sans"/>
          <w:b w:val="0"/>
        </w:rPr>
        <w:t>Đơn vị cung cấp: 上海追光智创文化传媒有限公司</w:t>
      </w:r>
    </w:p>
    <w:p>
      <w:pPr>
        <w:pStyle w:val="Heading1"/>
        <w:keepLines w:val="0"/>
      </w:pPr>
      <w:r>
        <w:rPr>
          <w:rFonts w:ascii="Noto Sans" w:hAnsi="Noto Sans" w:eastAsia="Noto Sans TC" w:cs="Noto Sans"/>
          <w:b w:val="0"/>
        </w:rPr>
        <w:t>1. Đơn vị cung cấp, tên gọi và phạm vi áp dụng</w:t>
      </w:r>
    </w:p>
    <w:p>
      <w:pPr>
        <w:keepLines w:val="0"/>
      </w:pPr>
      <w:r>
        <w:rPr>
          <w:rFonts w:ascii="Noto Sans" w:hAnsi="Noto Sans" w:eastAsia="Noto Sans TC" w:cs="Noto Sans"/>
          <w:b w:val="0"/>
        </w:rPr>
        <w:t>上海追光智创文化传媒有限公司 cung cấp dịch vụ này. DAWNBLOOM AI là thương hiệu hệ thống tương tác thông minh và dịch vụ kỹ thuật của công ty chúng tôi; DAWNBLOOM Fairy là người bạn đồng hành thông minh và hình tượng tương tác hướng tới người dùng thuộc cùng hệ thống dịch vụ. DAWNBLOOM AI 2.0 chỉ phiên bản công khai của hệ thống dịch vụ thông minh này, không có nghĩa là công ty chúng tôi đã tự đào tạo mô hình ngôn ngữ lớn nền tảng. Các điều khoản này được áp dụng cùng với Điều khoản dịch vụ DAWNBLOOM, Chính sách quyền riêng tư, Quy tắc người chơi và các chính sách áp dụng khác; các điều khoản này chỉ điều chỉnh những vấn đề riêng của dịch vụ thông minh và không làm giảm các quyền theo luật định.</w:t>
      </w:r>
    </w:p>
    <w:p>
      <w:pPr>
        <w:pStyle w:val="Heading1"/>
        <w:keepLines w:val="0"/>
      </w:pPr>
      <w:r>
        <w:rPr>
          <w:rFonts w:ascii="Noto Sans" w:hAnsi="Noto Sans" w:eastAsia="Noto Sans TC" w:cs="Noto Sans"/>
          <w:b w:val="0"/>
        </w:rPr>
        <w:t>2. Nội dung dịch vụ và phạm vi ngôn ngữ</w:t>
      </w:r>
    </w:p>
    <w:p>
      <w:pPr>
        <w:keepLines w:val="0"/>
      </w:pPr>
      <w:r>
        <w:rPr>
          <w:rFonts w:ascii="Noto Sans" w:hAnsi="Noto Sans" w:eastAsia="Noto Sans TC" w:cs="Noto Sans"/>
          <w:b w:val="0"/>
        </w:rPr>
        <w:t>Dịch vụ giới hạn ở việc hỏi đáp kiến thức công khai về trò chơi và sản phẩm, trao đổi bằng văn bản ngôn ngữ tự nhiên, hướng dẫn dịch vụ dành cho người chơi và các khả năng giao diện Intelligent UI thực tế đã được mở; việc hỗ trợ ngôn ngữ trên website chính thức không mở rộng phạm vi ngôn ngữ của ứng dụng trò chơi hoặc của từng phần mềm trong sáu phần mềm. Hiện không cung cấp chức năng tạo hoặc chỉnh sửa hình ảnh, tạo PDF, Word, bản trình chiếu, bảng tính và tự động hóa văn phòng đa dụng. Phiên bản website chính thức được đưa vào hệ thống 20 ngôn ngữ của website; trong trò chơi vẫn chỉ có bốn ngôn ngữ: tiếng Trung, tiếng Anh, tiếng Nhật và tiếng Hàn. Hỗ trợ một ngôn ngữ không có nghĩa là cung cấp nhân viên hỗ trợ khách hàng hoặc tư vấn pháp lý chuyên môn bằng ngôn ngữ đó.</w:t>
      </w:r>
    </w:p>
    <w:p>
      <w:pPr>
        <w:pStyle w:val="Heading1"/>
        <w:keepLines w:val="0"/>
      </w:pPr>
      <w:r>
        <w:rPr>
          <w:rFonts w:ascii="Noto Sans" w:hAnsi="Noto Sans" w:eastAsia="Noto Sans TC" w:cs="Noto Sans"/>
          <w:b w:val="0"/>
        </w:rPr>
        <w:t>3. Kiến thức công khai và thông tin được bảo vệ</w:t>
      </w:r>
    </w:p>
    <w:p>
      <w:pPr>
        <w:keepLines w:val="0"/>
      </w:pPr>
      <w:r>
        <w:rPr>
          <w:rFonts w:ascii="Noto Sans" w:hAnsi="Noto Sans" w:eastAsia="Noto Sans TC" w:cs="Noto Sans"/>
          <w:b w:val="0"/>
        </w:rPr>
        <w:t>Hỏi đáp kiến thức chỉ giới hạn ở tài liệu trò chơi, sản phẩm và hỗ trợ khách hàng được phép công khai. Cốt truyện, nhiệm vụ, bản đồ, xác suất, công thức, kế hoạch nội bộ, thông tin GM, biện pháp bảo mật và tài liệu khai thác lỗ hổng chưa công khai không được mở cho người dùng. Không được lợi dụng chức năng hỏi đáp để trích xuất tài liệu được bảo vệ.</w:t>
      </w:r>
    </w:p>
    <w:p>
      <w:pPr>
        <w:pStyle w:val="Heading1"/>
        <w:keepLines w:val="0"/>
      </w:pPr>
      <w:r>
        <w:rPr>
          <w:rFonts w:ascii="Noto Sans" w:hAnsi="Noto Sans" w:eastAsia="Noto Sans TC" w:cs="Noto Sans"/>
          <w:b w:val="0"/>
        </w:rPr>
        <w:t>4. Intelligent UI và xác nhận của người dùng</w:t>
      </w:r>
    </w:p>
    <w:p>
      <w:pPr>
        <w:keepLines w:val="0"/>
      </w:pPr>
      <w:r>
        <w:rPr>
          <w:rFonts w:ascii="Noto Sans" w:hAnsi="Noto Sans" w:eastAsia="Noto Sans TC" w:cs="Noto Sans"/>
          <w:b w:val="0"/>
        </w:rPr>
        <w:t>Intelligent UI kết hợp câu trả lời với thẻ thông tin có thể tương tác, lối truy cập chức năng và giao diện xác nhận. Thông tin về huyễn thú, trang bị, vật phẩm, hồ sơ trò chơi cá nhân và bảo mật tài khoản chỉ được cung cấp trong phạm vi chức năng đã được mở, có sự ủy quyền hợp pháp của chính người dùng, và hệ thống phía máy chủ đã xác nhận danh tính cùng quyền hạn tương ứng. Việc xuất hiện câu trả lời AI, thẻ hoặc nút không có nghĩa là thao tác đã được thực hiện; thao tác nhạy cảm phải trải qua xác minh chính thức, xác nhận cần thiết và căn cứ vào kết quả hệ thống; không được vượt qua hệ thống phân quyền để sửa dữ liệu người chơi hoặc đọc thông tin không công khai của người khác. Dữ liệu minh họa được ghi rõ không phải hồ sơ của chính người dùng và cũng không chứng minh rằng việc truy vấn hoặc thao tác thực tế đã thành công.</w:t>
      </w:r>
    </w:p>
    <w:p>
      <w:pPr>
        <w:pStyle w:val="Heading1"/>
        <w:keepLines w:val="0"/>
      </w:pPr>
      <w:r>
        <w:rPr>
          <w:rFonts w:ascii="Noto Sans" w:hAnsi="Noto Sans" w:eastAsia="Noto Sans TC" w:cs="Noto Sans"/>
          <w:b w:val="0"/>
        </w:rPr>
        <w:t>5. Độ chính xác của đầu ra và xác minh thông tin quan trọng</w:t>
      </w:r>
    </w:p>
    <w:p>
      <w:pPr>
        <w:keepLines w:val="0"/>
      </w:pPr>
      <w:r>
        <w:rPr>
          <w:rFonts w:ascii="Noto Sans" w:hAnsi="Noto Sans" w:eastAsia="Noto Sans TC" w:cs="Noto Sans"/>
          <w:b w:val="0"/>
        </w:rPr>
        <w:t xml:space="preserve">Câu trả lời AI có thể có lỗi hiểu, thiếu sót hoặc thông tin chậm cập nhật, và không thay thế thông báo chính thức, quy tắc trò chơi, điều khoản hàng hóa và hoàn tiền, hồ sơ được xác minh theo ủy quyền hoặc kết quả kiểm tra lại của nhân viên. Người dùng cần tự xác minh thông tin quan trọng và có thể phản ánh lỗi hoặc gửi khiếu nại qua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đề xuất của AI không tự làm thay đổi các quyền hiện có của người dùng hoặc biện pháp khắc phục theo luật định. AI không đưa ra kết luận cuối cùng về pháp lý, y tế, tài chính hoặc các vấn đề chuyên môn khác.</w:t>
      </w:r>
    </w:p>
    <w:p>
      <w:pPr>
        <w:pStyle w:val="Heading1"/>
        <w:keepLines w:val="0"/>
      </w:pPr>
      <w:r>
        <w:rPr>
          <w:rFonts w:ascii="Noto Sans" w:hAnsi="Noto Sans" w:eastAsia="Noto Sans TC" w:cs="Noto Sans"/>
          <w:b w:val="0"/>
        </w:rPr>
        <w:t>6. Quyền và trách nhiệm đối với đầu vào và đầu ra</w:t>
      </w:r>
    </w:p>
    <w:p>
      <w:pPr>
        <w:keepLines w:val="0"/>
      </w:pPr>
      <w:r>
        <w:rPr>
          <w:rFonts w:ascii="Noto Sans" w:hAnsi="Noto Sans" w:eastAsia="Noto Sans TC" w:cs="Noto Sans"/>
          <w:b w:val="0"/>
        </w:rPr>
        <w:t>Người dùng phải có quyền cung cấp nội dung đầu vào và không được gửi thông tin xâm phạm quyền của người khác hoặc vi phạm pháp luật. Người dùng chịu trách nhiệm về tính hợp pháp của việc sử dụng, phổ biến đầu ra và việc xác minh cần thiết. Việc công ty chúng tôi tạo câu trả lời không cấp quyền đối với tác phẩm, nhãn hiệu hoặc dữ liệu cá nhân của bên thứ ba; các quyền của người dùng đối với đầu ra được pháp luật công nhận và các quyền khác theo luật định không bị loại trừ bởi các điều khoản này.</w:t>
      </w:r>
    </w:p>
    <w:p>
      <w:pPr>
        <w:pStyle w:val="Heading1"/>
        <w:keepLines w:val="0"/>
      </w:pPr>
      <w:r>
        <w:rPr>
          <w:rFonts w:ascii="Noto Sans" w:hAnsi="Noto Sans" w:eastAsia="Noto Sans TC" w:cs="Noto Sans"/>
          <w:b w:val="0"/>
        </w:rPr>
        <w:t>7. Sử dụng an toàn và cấm lạm dụng</w:t>
      </w:r>
    </w:p>
    <w:p>
      <w:pPr>
        <w:keepLines w:val="0"/>
      </w:pPr>
      <w:r>
        <w:rPr>
          <w:rFonts w:ascii="Noto Sans" w:hAnsi="Noto Sans" w:eastAsia="Noto Sans TC" w:cs="Noto Sans"/>
          <w:b w:val="0"/>
        </w:rPr>
        <w:t>Không được tấn công, gửi yêu cầu hàng loạt với mục đích xấu, giả mạo danh tính, vượt qua mã xác minh hoặc phân quyền, gửi chỉ dẫn độc hại, đánh cắp nội dung không công khai hoặc tạo cam kết chính thức giả mạo. Vui lòng không cung cấp mật khẩu, mã xác minh dùng một lần đầy đủ, mật khẩu thanh toán, token và thông tin nhạy cảm khác không cần thiết.</w:t>
      </w:r>
    </w:p>
    <w:p>
      <w:pPr>
        <w:pStyle w:val="Heading1"/>
        <w:keepLines w:val="0"/>
      </w:pPr>
      <w:r>
        <w:rPr>
          <w:rFonts w:ascii="Noto Sans" w:hAnsi="Noto Sans" w:eastAsia="Noto Sans TC" w:cs="Noto Sans"/>
          <w:b w:val="0"/>
        </w:rPr>
        <w:t>8. Dữ liệu tài khoản và thao tác trong trò chơi</w:t>
      </w:r>
    </w:p>
    <w:p>
      <w:pPr>
        <w:keepLines w:val="0"/>
      </w:pPr>
      <w:r>
        <w:rPr>
          <w:rFonts w:ascii="Noto Sans" w:hAnsi="Noto Sans" w:eastAsia="Noto Sans TC" w:cs="Noto Sans"/>
          <w:b w:val="0"/>
        </w:rPr>
        <w:t>Huyễn thú, trang bị, vật phẩm, tài sản và hồ sơ cá nhân chỉ được xem trong phạm vi có sự ủy quyền hợp pháp của chính người dùng và được hệ thống phía máy chủ xác minh. AI không được cấp quyền GM và không trực tiếp thay đổi tài sản, hình thức xử phạt hoặc cơ chế chơi chính thức; việc khôi phục, tranh chấp và khiếu nại được xác minh theo quy trình chính thức.</w:t>
      </w:r>
    </w:p>
    <w:p>
      <w:pPr>
        <w:pStyle w:val="Heading1"/>
        <w:keepLines w:val="0"/>
      </w:pPr>
      <w:r>
        <w:rPr>
          <w:rFonts w:ascii="Noto Sans" w:hAnsi="Noto Sans" w:eastAsia="Noto Sans TC" w:cs="Noto Sans"/>
          <w:b w:val="0"/>
        </w:rPr>
        <w:t>9. Người chưa thành niên</w:t>
      </w:r>
    </w:p>
    <w:p>
      <w:pPr>
        <w:keepLines w:val="0"/>
      </w:pPr>
      <w:r>
        <w:rPr>
          <w:rFonts w:ascii="Noto Sans" w:hAnsi="Noto Sans" w:eastAsia="Noto Sans TC" w:cs="Noto Sans"/>
          <w:b w:val="0"/>
        </w:rPr>
        <w:t>Tài khoản và dịch vụ trò chơi tiếp tục áp dụng yêu cầu đủ 18 tuổi hiện có, không được nới lỏng vì dịch vụ AI. Truy cập tài liệu công khai không có nghĩa là được phép đăng ký hoặc sử dụng tài khoản trò chơi. Khi liên quan đến thông tin của người chưa thành niên, phải tuân thủ các yêu cầu bảo vệ áp dụng; không dùng hội thoại AI để thay thế sự đồng ý hoặc việc xác minh của người giám hộ mà pháp luật yêu cầu.</w:t>
      </w:r>
    </w:p>
    <w:p>
      <w:pPr>
        <w:pStyle w:val="Heading1"/>
        <w:keepLines w:val="0"/>
      </w:pPr>
      <w:r>
        <w:rPr>
          <w:rFonts w:ascii="Noto Sans" w:hAnsi="Noto Sans" w:eastAsia="Noto Sans TC" w:cs="Noto Sans"/>
          <w:b w:val="0"/>
        </w:rPr>
        <w:t>10. Mô hình bên thứ ba và xử lý dữ liệu</w:t>
      </w:r>
    </w:p>
    <w:p>
      <w:pPr>
        <w:keepLines w:val="0"/>
      </w:pPr>
      <w:r>
        <w:rPr>
          <w:rFonts w:ascii="Noto Sans" w:hAnsi="Noto Sans" w:eastAsia="Noto Sans TC" w:cs="Noto Sans"/>
          <w:b w:val="0"/>
        </w:rPr>
        <w:t>Việc tích hợp kỹ thuật sử dụng năng lực Qwen của Alibaba Cloud Model Studio; kết nối mô hình sử dụng điểm cuối tại khu vực Tokyo, Nhật Bản. Khu vực đặt điểm cuối không có nghĩa là toàn bộ dữ liệu người dùng chỉ được xử lý tại Nhật Bản, cũng không thay thế việc xác minh thỏa thuận dịch vụ thực tế, nhật ký của nhà cung cấp, biện pháp kiểm soát đào tạo, cài đặt lưu giữ và nghĩa vụ xuyên biên giới. OpenAI Codex tham gia xây dựng hệ thống kiến thức, phát triển chức năng, thiết kế tương tác và tối ưu hóa liên tục; điều này không khiến OpenAI Codex tự động nhận dữ liệu trò chuyện của người dùng, cũng không có nghĩa là OpenAI Codex đã đào tạo mô hình nền tảng Qwen. Đầu vào cụ thể, ngữ cảnh, nhật ký dịch vụ, việc lưu giữ và kiểm soát đào tạo được căn cứ vào Chính sách quyền riêng tư DAWNBLOOM hiện hành, các thông báo cụ thể áp dụng và thỏa thuận dịch vụ thực tế. Thông báo quyền riêng tư riêng cho AI vẫn đang được xác minh; các điều khoản này không thay thế việc xác nhận thực tế xử lý dữ liệu. Khi chưa hoàn tất thông báo, ủy quyền và xác minh an toàn cần thiết, việc sử dụng mô hình hoặc xử lý dữ liệu cá nhân tương ứng sẽ không được mở.</w:t>
      </w:r>
    </w:p>
    <w:p>
      <w:pPr>
        <w:pStyle w:val="Heading1"/>
        <w:keepLines w:val="0"/>
      </w:pPr>
      <w:r>
        <w:rPr>
          <w:rFonts w:ascii="Noto Sans" w:hAnsi="Noto Sans" w:eastAsia="Noto Sans TC" w:cs="Noto Sans"/>
          <w:b w:val="0"/>
        </w:rPr>
        <w:t>11. Tính khả dụng, sự cố và điều chỉnh dịch vụ</w:t>
      </w:r>
    </w:p>
    <w:p>
      <w:pPr>
        <w:keepLines w:val="0"/>
      </w:pPr>
      <w:r>
        <w:rPr>
          <w:rFonts w:ascii="Noto Sans" w:hAnsi="Noto Sans" w:eastAsia="Noto Sans TC" w:cs="Noto Sans"/>
          <w:b w:val="0"/>
        </w:rPr>
        <w:t>Chức năng thực tế được căn cứ vào các lối truy cập đã mở và trạng thái dịch vụ chính thức. Bảo trì, lỗi, sự cố bảo mật, vấn đề về năng lực phục vụ hoặc sự cố từ nhà cung cấp có thể hạn chế một phần dịch vụ; chúng tôi xử lý trong mức độ cần thiết và thông báo những thay đổi lớn qua kênh phù hợp. Ngừng gửi yêu cầu đến mô hình không có nghĩa là xóa tài khoản; quyền lợi từ giao dịch mua hiện có và biện pháp khắc phục theo luật định không đương nhiên mất hiệu lực do hạn chế chức năng AI.</w:t>
      </w:r>
    </w:p>
    <w:p>
      <w:pPr>
        <w:pStyle w:val="Heading1"/>
        <w:keepLines w:val="0"/>
      </w:pPr>
      <w:r>
        <w:rPr>
          <w:rFonts w:ascii="Noto Sans" w:hAnsi="Noto Sans" w:eastAsia="Noto Sans TC" w:cs="Noto Sans"/>
          <w:b w:val="0"/>
        </w:rPr>
        <w:t>12. Xử lý vi phạm, khiếu nại và sửa lỗi</w:t>
      </w:r>
    </w:p>
    <w:p>
      <w:pPr>
        <w:keepLines w:val="0"/>
      </w:pPr>
      <w:r>
        <w:rPr>
          <w:rFonts w:ascii="Noto Sans" w:hAnsi="Noto Sans" w:eastAsia="Noto Sans TC" w:cs="Noto Sans"/>
          <w:b w:val="0"/>
        </w:rPr>
        <w:t>Tùy theo rủi ro thực tế, có thể áp dụng giới hạn tần suất, tạm ngừng chức năng thông minh liên quan hoặc các biện pháp trong Quy tắc người chơi, đồng thời cung cấp kênh khiếu nại chính thức. Người dùng có thể gửi câu trả lời cụ thể, thời điểm đặt câu hỏi và tài liệu xác minh cần thiết để yêu cầu sửa lỗi; vui lòng che thông tin cá nhân không liên quan. Câu trả lời AI không tự cấu thành quyết định xử phạt.</w:t>
      </w:r>
    </w:p>
    <w:p>
      <w:pPr>
        <w:pStyle w:val="Heading1"/>
        <w:keepLines w:val="0"/>
      </w:pPr>
      <w:r>
        <w:rPr>
          <w:rFonts w:ascii="Noto Sans" w:hAnsi="Noto Sans" w:eastAsia="Noto Sans TC" w:cs="Noto Sans"/>
          <w:b w:val="0"/>
        </w:rPr>
        <w:t>13. Ngừng sử dụng và quyền đối với dữ liệu</w:t>
      </w:r>
    </w:p>
    <w:p>
      <w:pPr>
        <w:keepLines w:val="0"/>
      </w:pPr>
      <w:r>
        <w:rPr>
          <w:rFonts w:ascii="Noto Sans" w:hAnsi="Noto Sans" w:eastAsia="Noto Sans TC" w:cs="Noto Sans"/>
          <w:b w:val="0"/>
        </w:rPr>
        <w:t xml:space="preserve">Người dùng có thể ngừng trò chuyện, rút lại sự đồng ý trong trường hợp pháp luật cho phép rút lại, xóa lịch sử trò chuyện cục bộ, và gửi yêu cầu tra cứu, chỉnh sửa, xóa, hạn chế xử lý hoặc khiếu nại qua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hoặc bộ phận hỗ trợ khách hàng chính thức. Xóa lịch sử cục bộ không tự động xóa nhật ký dịch vụ, phiếu hỗ trợ nghiệp vụ hoặc hồ sơ bên thứ ba được lưu giữ theo pháp luật; việc xử lý tiếp theo được thực hiện theo loại dữ liệu thực tế, nghĩa vụ pháp lý, nhu cầu bảo mật và tranh chấp chưa giải quyết, không ảnh hưởng đến các quyền hiện có. Ngừng sử dụng không làm mất hiệu lực của khiếu nại, yêu cầu hoàn tiền, yêu cầu về quyền riêng tư hoặc biện pháp khắc phục theo luật định hiện có.</w:t>
      </w:r>
    </w:p>
    <w:p>
      <w:pPr>
        <w:pStyle w:val="Heading1"/>
        <w:keepLines w:val="0"/>
      </w:pPr>
      <w:r>
        <w:rPr>
          <w:rFonts w:ascii="Noto Sans" w:hAnsi="Noto Sans" w:eastAsia="Noto Sans TC" w:cs="Noto Sans"/>
          <w:b w:val="0"/>
        </w:rPr>
        <w:t>14. Cập nhật, khiếu nại và liên hệ</w:t>
      </w:r>
    </w:p>
    <w:p>
      <w:pPr>
        <w:keepLines w:val="0"/>
      </w:pPr>
      <w:r>
        <w:rPr>
          <w:rFonts w:ascii="Noto Sans" w:hAnsi="Noto Sans" w:eastAsia="Noto Sans TC" w:cs="Noto Sans"/>
          <w:b w:val="0"/>
        </w:rPr>
        <w:t xml:space="preserve">Những thay đổi lớn về điều khoản hoặc xử lý được thông báo và thực hiện các thủ tục cần thiết theo pháp luật áp dụng, không làm giảm hồi tố các quyền theo luật định đã được xác lập. Pháp lý và quyền đối với dữ liệu: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hỗ trợ khách hàng và sửa lỗi: </w:t>
      </w:r>
      <w:hyperlink r:id="rId11">
        <w:r>
          <w:rPr>
            <w:rFonts w:ascii="Noto Sans" w:hAnsi="Noto Sans" w:eastAsia="Noto Sans TC"/>
            <w:b w:val="0"/>
          </w:rPr>
          <w:t xml:space="preserve">support@dawnbloom.net</w:t>
        </w:r>
      </w:hyperlink>
      <w:r>
        <w:rPr>
          <w:rFonts w:ascii="Noto Sans" w:hAnsi="Noto Sans" w:eastAsia="Noto Sans TC" w:cs="Noto Sans"/>
          <w:b w:val="0"/>
        </w:rPr>
        <w:t xml:space="preserve">; sự cố bảo mật: </w:t>
      </w:r>
      <w:hyperlink r:id="rId13">
        <w:r>
          <w:rPr>
            <w:rFonts w:ascii="Noto Sans" w:hAnsi="Noto Sans" w:eastAsia="Noto Sans TC"/>
            <w:b w:val="0"/>
          </w:rPr>
          <w:t xml:space="preserve">security@dawnbloom.net</w:t>
        </w:r>
      </w:hyperlink>
      <w:r>
        <w:rPr>
          <w:rFonts w:ascii="Noto Sans" w:hAnsi="Noto Sans" w:eastAsia="Noto Sans TC" w:cs="Noto Sans"/>
          <w:b w:val="0"/>
        </w:rPr>
        <w:t xml:space="preserve">. Địa chỉ liên hệ pháp lý tiếp tục sử dụng địa chỉ trong thông tin pháp lý chính thức.</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khoản sử dụng DAWNBLOOM AI</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