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Умови використання DAWNBLOOM Token</w:t>
      </w:r>
    </w:p>
    <w:p>
      <w:pPr>
        <w:keepLines w:val="0"/>
      </w:pPr>
      <w:r>
        <w:rPr>
          <w:rFonts w:ascii="Noto Sans" w:hAnsi="Noto Sans" w:eastAsia="Noto Sans TC" w:cs="Noto Sans"/>
          <w:b w:val="0"/>
        </w:rPr>
        <w:t>Версія: V8</w:t>
      </w:r>
    </w:p>
    <w:p>
      <w:pPr>
        <w:keepLines w:val="0"/>
      </w:pPr>
      <w:r>
        <w:rPr>
          <w:rFonts w:ascii="Noto Sans" w:hAnsi="Noto Sans" w:eastAsia="Noto Sans TC" w:cs="Noto Sans"/>
          <w:b w:val="0"/>
        </w:rPr>
        <w:t>Дата перегляду: 10 жовтня 2026 року</w:t>
      </w:r>
    </w:p>
    <w:p>
      <w:pPr>
        <w:keepLines w:val="0"/>
      </w:pPr>
      <w:r>
        <w:rPr>
          <w:rFonts w:ascii="Noto Sans" w:hAnsi="Noto Sans" w:eastAsia="Noto Sans TC" w:cs="Noto Sans"/>
          <w:b w:val="0"/>
        </w:rPr>
        <w:t>Дата набрання чинності: 10 жовтня 2026 року</w:t>
      </w:r>
    </w:p>
    <w:p>
      <w:pPr>
        <w:keepLines w:val="0"/>
      </w:pPr>
      <w:r>
        <w:rPr>
          <w:rFonts w:ascii="Noto Sans" w:hAnsi="Noto Sans" w:eastAsia="Noto Sans TC" w:cs="Noto Sans"/>
          <w:b w:val="0"/>
        </w:rPr>
        <w:t>Надавач послуг: 上海追光智创文化传媒有限公司</w:t>
      </w:r>
    </w:p>
    <w:p>
      <w:pPr>
        <w:keepLines w:val="0"/>
      </w:pPr>
      <w:r>
        <w:rPr>
          <w:rFonts w:ascii="Noto Sans" w:hAnsi="Noto Sans" w:eastAsia="Noto Sans TC" w:cs="Noto Sans"/>
          <w:b w:val="0"/>
        </w:rPr>
        <w:t>Вітаємо в DAWNBLOOM Token. Ці Умови застосовуються до завантаження з офіційних каналів, установлення або використання цього продукту та пов’язаних офіційних послуг. Спершу ознайомтеся з ними; якщо ви не погоджуєтеся, не завантажуйте й не використовуйте продукт.</w:t>
      </w:r>
    </w:p>
    <w:p>
      <w:pPr>
        <w:pStyle w:val="Heading1"/>
        <w:keepLines w:val="0"/>
      </w:pPr>
      <w:r>
        <w:rPr>
          <w:rFonts w:ascii="Noto Sans" w:hAnsi="Noto Sans" w:eastAsia="Noto Sans TC" w:cs="Noto Sans"/>
          <w:b w:val="0"/>
        </w:rPr>
        <w:t>Надавач послуг</w:t>
      </w:r>
    </w:p>
    <w:p>
      <w:pPr>
        <w:keepLines w:val="0"/>
      </w:pPr>
      <w:r>
        <w:rPr>
          <w:rFonts w:ascii="Noto Sans" w:hAnsi="Noto Sans" w:eastAsia="Noto Sans TC" w:cs="Noto Sans"/>
          <w:b w:val="0"/>
        </w:rPr>
        <w:t>上海追光智创文化传媒有限公司 · Китайська пілотна зона вільної торгівлі (Шанхай), новий район Ліньган, вул. Тяньцзяо, 336, будівля 3, приміщення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Сфера продукту та облікові записи</w:t>
      </w:r>
    </w:p>
    <w:p>
      <w:pPr>
        <w:keepLines w:val="0"/>
      </w:pPr>
      <w:r>
        <w:rPr>
          <w:rFonts w:ascii="Noto Sans" w:hAnsi="Noto Sans" w:eastAsia="Noto Sans TC" w:cs="Noto Sans"/>
          <w:b w:val="0"/>
        </w:rPr>
        <w:t>DAWNBLOOM Token надає доступ до облікового запису DAWNBLOOM, перевірки безпеки, офіційної спільноти та матеріалів. Реєстрація, вхід, прив’язування, відновлення та видалення облікового запису й надалі регулюються відповідними правилами облікових записів; правила гри та спільноти застосовуються самостійно, і ці Умови не змінюють умов участі в них. Динамічні коди використовуються лише для безпечної перевірки особи та не є валютою, активом або підтвердженням доходу.</w:t>
      </w:r>
    </w:p>
    <w:p>
      <w:pPr>
        <w:pStyle w:val="Heading1"/>
        <w:keepLines w:val="0"/>
      </w:pPr>
      <w:r>
        <w:rPr>
          <w:rFonts w:ascii="Noto Sans" w:hAnsi="Noto Sans" w:eastAsia="Noto Sans TC" w:cs="Noto Sans"/>
          <w:b w:val="0"/>
        </w:rPr>
        <w:t>Коди підтвердження та безпека пристрою</w:t>
      </w:r>
    </w:p>
    <w:p>
      <w:pPr>
        <w:keepLines w:val="0"/>
      </w:pPr>
      <w:r>
        <w:rPr>
          <w:rFonts w:ascii="Noto Sans" w:hAnsi="Noto Sans" w:eastAsia="Noto Sans TC" w:cs="Noto Sans"/>
          <w:b w:val="0"/>
        </w:rPr>
        <w:t>Належно захищайте паролі, дані прив’язування та динамічні коди й схвалюйте лише перевірки, ініційовані вами особисто. Офіційні представники не запитуватимуть цю інформацію через приватні повідомлення. У разі втрати пристрою, аномальної прив’язки або підозри на викрадення облікового запису якнайшвидше зверніться до офіційних каналів керування обліковим записом або підтримки. Час на пристрої, безпека системи та стан мережі можуть впливати на перевірку; цей продукт не гарантує запобігання всім випадкам викрадення облікових записів, шахрайства або ризикам пристрою.</w:t>
      </w:r>
    </w:p>
    <w:p>
      <w:pPr>
        <w:pStyle w:val="Heading1"/>
        <w:keepLines w:val="0"/>
      </w:pPr>
      <w:r>
        <w:rPr>
          <w:rFonts w:ascii="Noto Sans" w:hAnsi="Noto Sans" w:eastAsia="Noto Sans TC" w:cs="Noto Sans"/>
          <w:b w:val="0"/>
        </w:rPr>
        <w:t>Ліцензія на програмне забезпечення</w:t>
      </w:r>
    </w:p>
    <w:p>
      <w:pPr>
        <w:keepLines w:val="0"/>
      </w:pPr>
      <w:r>
        <w:rPr>
          <w:rFonts w:ascii="Noto Sans" w:hAnsi="Noto Sans" w:eastAsia="Noto Sans TC" w:cs="Noto Sans"/>
          <w:b w:val="0"/>
        </w:rPr>
        <w:t>За умови дотримання цих Умов і застосовного законодавства ви можете встановлювати та використовувати офіційну версію на сумісних пристроях, якими законно володієте або які контролюєте. Права інтелектуальної власності на програмне забезпечення, бренд і пов’язаний вміст залишаються за відповідними правовласниками. Компоненти третіх осіб із відкритим кодом надаються за відповідними ліцензіями.</w:t>
      </w:r>
    </w:p>
    <w:p>
      <w:pPr>
        <w:pStyle w:val="Heading1"/>
        <w:keepLines w:val="0"/>
      </w:pPr>
      <w:r>
        <w:rPr>
          <w:rFonts w:ascii="Noto Sans" w:hAnsi="Noto Sans" w:eastAsia="Noto Sans TC" w:cs="Noto Sans"/>
          <w:b w:val="0"/>
        </w:rPr>
        <w:t>Правомірне використання та сторонні послуги</w:t>
      </w:r>
    </w:p>
    <w:p>
      <w:pPr>
        <w:keepLines w:val="0"/>
      </w:pPr>
      <w:r>
        <w:rPr>
          <w:rFonts w:ascii="Noto Sans" w:hAnsi="Noto Sans" w:eastAsia="Noto Sans TC" w:cs="Noto Sans"/>
          <w:b w:val="0"/>
        </w:rPr>
        <w:t>Заборонено видавати себе за офіційного представника, поширювати шкідливе програмне забезпечення, викрадати облікові записи, порушувати права інших осіб або підривати безпеку послуг. Ці Умови не обмежують дій, дозволених застосовним законодавством, і прав, наданих ліцензіями на відкритий код. Зовнішні сайти, джерела вмісту та магазини застосовують власні правила; ми не контролюємо їхній вміст, доступність або плату.</w:t>
      </w:r>
    </w:p>
    <w:p>
      <w:pPr>
        <w:pStyle w:val="Heading1"/>
        <w:keepLines w:val="0"/>
      </w:pPr>
      <w:r>
        <w:rPr>
          <w:rFonts w:ascii="Noto Sans" w:hAnsi="Noto Sans" w:eastAsia="Noto Sans TC" w:cs="Noto Sans"/>
          <w:b w:val="0"/>
        </w:rPr>
        <w:t>Конфіденційність і необхідні підтвердження</w:t>
      </w:r>
    </w:p>
    <w:p>
      <w:pPr>
        <w:keepLines w:val="0"/>
      </w:pPr>
      <w:r>
        <w:rPr>
          <w:rFonts w:ascii="Noto Sans" w:hAnsi="Noto Sans" w:eastAsia="Noto Sans TC" w:cs="Noto Sans"/>
          <w:b w:val="0"/>
        </w:rPr>
        <w:t>Обробка персональної інформації регулюється повідомленням про конфіденційність цього продукту та Політикою конфіденційності DAWNBLOOM. Ці Умови не замінюють окремих підтверджень, потрібних для системних дозволів, дій з обліковим записом, необов’язкової синхронізації або інших випадків, передбачених законом; ви можете відмовитися від необов’язкових функцій.</w:t>
      </w:r>
    </w:p>
    <w:p>
      <w:pPr>
        <w:pStyle w:val="Heading1"/>
        <w:keepLines w:val="0"/>
      </w:pPr>
      <w:r>
        <w:rPr>
          <w:rFonts w:ascii="Noto Sans" w:hAnsi="Noto Sans" w:eastAsia="Noto Sans TC" w:cs="Noto Sans"/>
          <w:b w:val="0"/>
        </w:rPr>
        <w:t>Статус доступності, оновлення та плата</w:t>
      </w:r>
    </w:p>
    <w:p>
      <w:pPr>
        <w:keepLines w:val="0"/>
      </w:pPr>
      <w:r>
        <w:rPr>
          <w:rFonts w:ascii="Noto Sans" w:hAnsi="Noto Sans" w:eastAsia="Noto Sans TC" w:cs="Noto Sans"/>
          <w:b w:val="0"/>
        </w:rPr>
        <w:t>Функції та канали визначаються фактично оприлюдненою версією й можуть відрізнятися залежно від платформи, пристрою або регіону. Єдиний номер версії на офіційному сайті не означає, що та сама версія вже доступна в усіх магазинах. Ми можемо надавати оновлення безпеки та функцій; у разі запровадження плати заздалегідь чітко повідомимо ціну, обсяг і застосовні правила та не списуватимемо кошти лише на підставі цих Умов. Отримуючи програмне забезпечення через магазин, також дотримуйтеся застосовних ліцензійних правил і правил купівлі цього магазину.</w:t>
      </w:r>
    </w:p>
    <w:p>
      <w:pPr>
        <w:pStyle w:val="Heading1"/>
        <w:keepLines w:val="0"/>
      </w:pPr>
      <w:r>
        <w:rPr>
          <w:rFonts w:ascii="Noto Sans" w:hAnsi="Noto Sans" w:eastAsia="Noto Sans TC" w:cs="Noto Sans"/>
          <w:b w:val="0"/>
        </w:rPr>
        <w:t>Обмеження послуг і права користувачів</w:t>
      </w:r>
    </w:p>
    <w:p>
      <w:pPr>
        <w:keepLines w:val="0"/>
      </w:pPr>
      <w:r>
        <w:rPr>
          <w:rFonts w:ascii="Noto Sans" w:hAnsi="Noto Sans" w:eastAsia="Noto Sans TC" w:cs="Noto Sans"/>
          <w:b w:val="0"/>
        </w:rPr>
        <w:t>Ми докладатимемо розумних зусиль для підтримання продукту, але не обіцяємо, що він завжди працюватиме без помилок чи перерв у всіх середовищах або цілком відповідатиме певному призначенню. Зберігайте належні резервні копії важливої інформації та файлів. Будь-яке обмеження відповідальності застосовується лише в межах, дозволених застосовним законодавством, не виключає відповідальності, яку закон забороняє виключати, не звільняє від відповідальності, що згідно із законом настає за умисел або грубу недбалість, і не звужує невідчужуваних прав споживачів.</w:t>
      </w:r>
    </w:p>
    <w:p>
      <w:pPr>
        <w:pStyle w:val="Heading1"/>
        <w:keepLines w:val="0"/>
      </w:pPr>
      <w:r>
        <w:rPr>
          <w:rFonts w:ascii="Noto Sans" w:hAnsi="Noto Sans" w:eastAsia="Noto Sans TC" w:cs="Noto Sans"/>
          <w:b w:val="0"/>
        </w:rPr>
        <w:t>Припинення використання та заходи щодо послуг</w:t>
      </w:r>
    </w:p>
    <w:p>
      <w:pPr>
        <w:keepLines w:val="0"/>
      </w:pPr>
      <w:r>
        <w:rPr>
          <w:rFonts w:ascii="Noto Sans" w:hAnsi="Noto Sans" w:eastAsia="Noto Sans TC" w:cs="Noto Sans"/>
          <w:b w:val="0"/>
        </w:rPr>
        <w:t>Ви можете припинити використання та видалити програмне забезпечення. Видалення програмного забезпечення, вихід з облікового запису та видалення облікового запису DAWNBLOOM — різні дії; для видалення облікового запису використовуйте офіційну процедуру. У разі ризиків безпеки, незаконних дій або істотного порушення Умов ми можемо застосувати необхідні та пропорційні обмеження й, коли це можливо та дозволено законом, пояснити причини й надати спосіб зв’язку або оскарження.</w:t>
      </w:r>
    </w:p>
    <w:p>
      <w:pPr>
        <w:pStyle w:val="Heading1"/>
        <w:keepLines w:val="0"/>
      </w:pPr>
      <w:r>
        <w:rPr>
          <w:rFonts w:ascii="Noto Sans" w:hAnsi="Noto Sans" w:eastAsia="Noto Sans TC" w:cs="Noto Sans"/>
          <w:b w:val="0"/>
        </w:rPr>
        <w:t>Оновлення Умов і вирішення спорів</w:t>
      </w:r>
    </w:p>
    <w:p>
      <w:pPr>
        <w:keepLines w:val="0"/>
      </w:pPr>
      <w:r>
        <w:rPr>
          <w:rFonts w:ascii="Noto Sans" w:hAnsi="Noto Sans" w:eastAsia="Noto Sans TC" w:cs="Noto Sans"/>
          <w:b w:val="0"/>
        </w:rPr>
        <w:t>Оновлення Умов міститимуть дату. Про істотні зміни повідомлятиметься розумним способом; якщо закон вимагає повторної явно вираженої згоди, її буде отримано окремо. Ці Умови регулюються законодавством Китайської Народної Республіки без шкоди для імперативних норм за місцем перебування користувача та його прав споживача. Спори слід спершу намагатися врегулювати шляхом дружніх переговорів; якщо це неможливо, відповідно до закону можна звернутися до компетентного суду, без виключення передбачених законом засобів правового захисту користувача.</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використання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