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Офіційні Канали DAWNBLOOM та Повідомлення про Антишахрайство</w:t>
      </w:r>
    </w:p>
    <w:p>
      <w:pPr>
        <w:keepLines w:val="0"/>
      </w:pPr>
      <w:r>
        <w:rPr>
          <w:rFonts w:ascii="Noto Sans" w:hAnsi="Noto Sans" w:eastAsia="Arial Unicode MS" w:cs="Noto Sans"/>
          <w:b w:val="0"/>
        </w:rPr>
        <w:t>Офіційна версія</w:t>
      </w:r>
    </w:p>
    <w:p>
      <w:pPr>
        <w:keepLines w:val="0"/>
      </w:pPr>
      <w:r>
        <w:rPr>
          <w:rFonts w:ascii="Noto Sans" w:hAnsi="Noto Sans" w:eastAsia="Arial Unicode MS" w:cs="Noto Sans"/>
          <w:b w:val="0"/>
        </w:rPr>
        <w:t>ОФІЦІЙНІ КАНАЛИ ТА ПОПЕРЕДЖЕННЯ ПРО ШАХРАЙСТВО</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Будь ласка, перевіряйте лише офіційний веб-сайт</w:t>
              <w:br/>
              <w:t>https://dawnbloom.net</w:t>
            </w:r>
          </w:p>
        </w:tc>
      </w:tr>
    </w:tbl>
    <w:p>
      <w:pPr>
        <w:spacing w:after="40"/>
      </w:pPr>
    </w:p>
    <w:p>
      <w:pPr>
        <w:keepLines w:val="0"/>
      </w:pPr>
      <w:r>
        <w:rPr>
          <w:rFonts w:ascii="Noto Sans" w:hAnsi="Noto Sans" w:eastAsia="Arial Unicode MS" w:cs="Noto Sans"/>
          <w:b w:val="0"/>
        </w:rPr>
        <w:t>V8 · 10 жовтня 2026 року</w:t>
      </w:r>
    </w:p>
    <w:p>
      <w:pPr>
        <w:keepLines w:val="0"/>
      </w:pPr>
      <w:r>
        <w:rPr>
          <w:rFonts w:ascii="Noto Sans" w:hAnsi="Noto Sans" w:eastAsia="Arial Unicode MS" w:cs="Noto Sans"/>
          <w:b w:val="0"/>
        </w:rPr>
        <w:t>Дата набрання чинності: 10 жовтня 2026 року</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Будь-який веб-сайт, служба підтримки, акаунт у соціальних мережах або сторінка оплати, яка стверджує, що представляє DAWNBLOOM (DAWNBLOOM), але не вказана явно в цьому повідомленні чи на офіційному веб-сайті, не повинна надаватися з інформацією про обліковий запис, кодами верифікації, або від неї не слід вимагати оплату.</w:t>
            </w:r>
          </w:p>
        </w:tc>
      </w:tr>
    </w:tbl>
    <w:p>
      <w:pPr>
        <w:spacing w:after="40"/>
      </w:pPr>
    </w:p>
    <w:p>
      <w:pPr>
        <w:pStyle w:val="Heading1"/>
        <w:keepLines w:val="0"/>
      </w:pPr>
      <w:r>
        <w:rPr>
          <w:rFonts w:ascii="Noto Sans" w:hAnsi="Noto Sans" w:eastAsia="Arial Unicode MS" w:cs="Noto Sans"/>
          <w:b w:val="0"/>
        </w:rPr>
        <w:t>1. Мета цього повідомлення</w:t>
      </w:r>
    </w:p>
    <w:p>
      <w:pPr>
        <w:keepLines w:val="0"/>
      </w:pPr>
      <w:r>
        <w:rPr>
          <w:rFonts w:ascii="Noto Sans" w:hAnsi="Noto Sans" w:eastAsia="Arial Unicode MS" w:cs="Noto Sans"/>
          <w:b w:val="0"/>
        </w:rPr>
        <w:t>Це повідомлення призначене для допомоги гравцям у визначенні офіційного веб-сайту, офіційної адреси електронної пошти, офіційних соціальних мереж та офіційних каналів служби підтримки «DAWNBLOOM» (DAWNBLOOM). Воно спрямоване на зменшення ризиків, пов’язаних із фіктивною службою підтримки, послугами фіктивного поповнення, сайтами фішингу, посиланнями для крадіжки облікових записів, хибними вимогами про повернення коштів та підробкою особи несанкціонованими особами. Офіційні канали можуть бути додані, переміщені або перейменовані відповідно до налаштувань платформи; будь-які такі зміни або оновлення будуть остаточно затверджені та оголошені офіційно через dawnbloom.net.</w:t>
      </w:r>
    </w:p>
    <w:p>
      <w:pPr>
        <w:keepLines w:val="0"/>
      </w:pPr>
      <w:r>
        <w:rPr>
          <w:rFonts w:ascii="Noto Sans" w:hAnsi="Noto Sans" w:eastAsia="Arial Unicode MS" w:cs="Noto Sans"/>
          <w:b w:val="0"/>
        </w:rPr>
        <w:t>Це повідомлення також допомагає користувачам ідентифікувати сторінки, інсталятори, оновлення та підтримку для гри, Токена, Браузера, Новин, Пошти, Завантаження та Архіву. Не отримуйте невипущені продукти з невідомих файлохостингів, групових спільних ресурсів, приватних чатів або сайтів з зламанним програмним забезпеченням.</w:t>
      </w:r>
    </w:p>
    <w:p>
      <w:pPr>
        <w:pStyle w:val="Heading1"/>
        <w:keepLines w:val="0"/>
      </w:pPr>
      <w:r>
        <w:rPr>
          <w:rFonts w:ascii="Noto Sans" w:hAnsi="Noto Sans" w:eastAsia="Arial Unicode MS" w:cs="Noto Sans"/>
          <w:b w:val="0"/>
        </w:rPr>
        <w:t>2. Офіційні канали</w:t>
      </w:r>
    </w:p>
    <w:p>
      <w:pPr>
        <w:keepLines w:val="0"/>
      </w:pPr>
      <w:r>
        <w:rPr>
          <w:rFonts w:ascii="Noto Sans" w:hAnsi="Noto Sans" w:eastAsia="Arial Unicode MS" w:cs="Noto Sans"/>
          <w:b w:val="0"/>
        </w:rPr>
        <w:t>DAWNBLOOM Fairy та DAWNBLOOM AI належать до тієї самої системи інтелектуальних послуг нашої компанії. Не надсилайте в чаті паролі, повні одноразові коди підтвердження, токени доступу або платіжні облікові дані. Рекомендації ШІ та картки Intelligent UI не замінюють офіційної перевірки особи; дії з обліковим записом, активами та персональними даними й надалі повинні виконуватися через перевірені офіційні процедури обслуговування. Не довіряйте повідомленням, які від імені ШІ вимагають обійти перевірку, сплатити кошти на приватні рахунки або надати чутливу інформацію на схожих доменах.</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Канал</w:t>
            </w:r>
          </w:p>
        </w:tc>
        <w:tc>
          <w:tcPr>
            <w:tcW w:type="dxa" w:w="3249"/>
            <w:vAlign w:val="center"/>
            <w:shd w:fill="DCE8F7"/>
          </w:tcPr>
          <w:p>
            <w:pPr>
              <w:keepNext/>
              <w:spacing w:after="40"/>
            </w:pPr>
            <w:r>
              <w:rPr>
                <w:rFonts w:ascii="Noto Sans" w:hAnsi="Noto Sans" w:eastAsia="Arial Unicode MS" w:cs="Noto Sans"/>
                <w:b/>
                <w:sz w:val="17"/>
              </w:rPr>
              <w:t>Офіційна інформація</w:t>
            </w:r>
          </w:p>
        </w:tc>
        <w:tc>
          <w:tcPr>
            <w:tcW w:type="dxa" w:w="3249"/>
            <w:vAlign w:val="center"/>
            <w:shd w:fill="DCE8F7"/>
          </w:tcPr>
          <w:p>
            <w:pPr>
              <w:keepNext/>
              <w:spacing w:after="40"/>
            </w:pPr>
            <w:r>
              <w:rPr>
                <w:rFonts w:ascii="Noto Sans" w:hAnsi="Noto Sans" w:eastAsia="Arial Unicode MS" w:cs="Noto Sans"/>
                <w:b/>
                <w:sz w:val="17"/>
              </w:rPr>
              <w:t>Мета</w:t>
            </w:r>
          </w:p>
        </w:tc>
      </w:tr>
      <w:tr>
        <w:trPr>
          <w:cantSplit/>
        </w:trPr>
        <w:tc>
          <w:tcPr>
            <w:tcW w:type="dxa" w:w="3249"/>
            <w:vAlign w:val="center"/>
          </w:tcPr>
          <w:p>
            <w:pPr>
              <w:spacing w:after="40"/>
            </w:pPr>
            <w:r>
              <w:rPr>
                <w:rFonts w:ascii="Noto Sans" w:hAnsi="Noto Sans" w:eastAsia="Arial Unicode MS" w:cs="Noto Sans"/>
                <w:sz w:val="17"/>
              </w:rPr>
              <w:t>Єдиний глобальний вебсайт</w:t>
            </w:r>
          </w:p>
        </w:tc>
        <w:tc>
          <w:tcPr>
            <w:tcW w:type="dxa" w:w="3249"/>
            <w:vAlign w:val="center"/>
          </w:tcPr>
          <w:p>
            <w:pPr>
              <w:spacing w:after="40"/>
            </w:pPr>
            <w:hyperlink r:id="rId11">
              <w:r>
                <w:rPr>
                  <w:rFonts w:ascii="Noto Sans" w:hAnsi="Noto Sans" w:eastAsia="Arial Unicode MS"/>
                  <w:sz w:val="17"/>
                </w:rPr>
                <w:t xml:space="preserve">https://dawnbloom.net</w:t>
              </w:r>
            </w:hyperlink>
          </w:p>
        </w:tc>
        <w:tc>
          <w:tcPr>
            <w:tcW w:type="dxa" w:w="3249"/>
            <w:vAlign w:val="center"/>
          </w:tcPr>
          <w:p>
            <w:pPr>
              <w:spacing w:after="40"/>
            </w:pPr>
            <w:r>
              <w:rPr>
                <w:rFonts w:ascii="Noto Sans" w:hAnsi="Noto Sans" w:eastAsia="Arial Unicode MS" w:cs="Noto Sans"/>
                <w:sz w:val="17"/>
              </w:rPr>
              <w:t>Юридичні документи, завантаження ігор, сервіси облікових записів, спільнота, магазин, оголошення та офіційні точки входу</w:t>
            </w:r>
          </w:p>
        </w:tc>
      </w:tr>
      <w:tr>
        <w:trPr>
          <w:cantSplit/>
        </w:trPr>
        <w:tc>
          <w:tcPr>
            <w:tcW w:type="dxa" w:w="3249"/>
            <w:vAlign w:val="center"/>
          </w:tcPr>
          <w:p>
            <w:pPr>
              <w:spacing w:after="40"/>
            </w:pPr>
            <w:r>
              <w:rPr>
                <w:rFonts w:ascii="Noto Sans" w:hAnsi="Noto Sans" w:eastAsia="Arial Unicode MS" w:cs="Noto Sans"/>
                <w:sz w:val="17"/>
              </w:rPr>
              <w:t>Офіційний китайськомовний вхід</w:t>
            </w:r>
          </w:p>
        </w:tc>
        <w:tc>
          <w:tcPr>
            <w:tcW w:type="dxa" w:w="3249"/>
            <w:vAlign w:val="center"/>
          </w:tcPr>
          <w:p>
            <w:pPr>
              <w:spacing w:after="40"/>
            </w:pPr>
            <w:r>
              <w:rPr>
                <w:rFonts w:ascii="Noto Sans" w:hAnsi="Noto Sans" w:eastAsia="Arial Unicode MS" w:cs="Noto Sans"/>
                <w:sz w:val="17"/>
              </w:rPr>
              <w:t>https://dawnbloom.com.cn</w:t>
              <w:br/>
              <w:t>www.dawnbloom.com.cn</w:t>
            </w:r>
          </w:p>
        </w:tc>
        <w:tc>
          <w:tcPr>
            <w:tcW w:type="dxa" w:w="3249"/>
            <w:vAlign w:val="center"/>
          </w:tcPr>
          <w:p>
            <w:pPr>
              <w:spacing w:after="40"/>
            </w:pPr>
            <w:r>
              <w:rPr>
                <w:rFonts w:ascii="Noto Sans" w:hAnsi="Noto Sans" w:eastAsia="Arial Unicode MS" w:cs="Noto Sans"/>
                <w:sz w:val="17"/>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Офіційний японськомовний вхід</w:t>
            </w:r>
          </w:p>
        </w:tc>
        <w:tc>
          <w:tcPr>
            <w:tcW w:type="dxa" w:w="3249"/>
            <w:vAlign w:val="center"/>
          </w:tcPr>
          <w:p>
            <w:pPr>
              <w:spacing w:after="40"/>
            </w:pPr>
            <w:r>
              <w:rPr>
                <w:rFonts w:ascii="Noto Sans" w:hAnsi="Noto Sans" w:eastAsia="Arial Unicode MS" w:cs="Noto Sans"/>
                <w:sz w:val="17"/>
              </w:rPr>
              <w:t>https://dawnbloom.jp</w:t>
              <w:br/>
              <w:t>www.dawnbloom.jp</w:t>
            </w:r>
          </w:p>
        </w:tc>
        <w:tc>
          <w:tcPr>
            <w:tcW w:type="dxa" w:w="3249"/>
            <w:vAlign w:val="center"/>
          </w:tcPr>
          <w:p>
            <w:pPr>
              <w:spacing w:after="40"/>
            </w:pPr>
            <w:r>
              <w:rPr>
                <w:rFonts w:ascii="Noto Sans" w:hAnsi="Noto Sans" w:eastAsia="Arial Unicode MS" w:cs="Noto Sans"/>
                <w:sz w:val="17"/>
              </w:rPr>
              <w:t xml:space="preserve">Відкритий;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Офіційна корейська мовна точка входу</w:t>
            </w:r>
          </w:p>
        </w:tc>
        <w:tc>
          <w:tcPr>
            <w:tcW w:type="dxa" w:w="3249"/>
            <w:vAlign w:val="center"/>
          </w:tcPr>
          <w:p>
            <w:pPr>
              <w:spacing w:after="40"/>
            </w:pPr>
            <w:hyperlink r:id="rId14">
              <w:r>
                <w:rPr>
                  <w:rFonts w:ascii="Noto Sans" w:hAnsi="Noto Sans" w:eastAsia="Arial Unicode MS"/>
                  <w:sz w:val="17"/>
                </w:rPr>
                <w:t xml:space="preserve">https://dawnbloom.kr</w:t>
              </w:r>
            </w:hyperlink>
            <w:r>
              <w:rPr>
                <w:rFonts w:ascii="Noto Sans" w:hAnsi="Noto Sans" w:eastAsia="Arial Unicode MS" w:cs="Noto Sans"/>
                <w:sz w:val="17"/>
              </w:rPr>
              <w:t xml:space="preserve"> · www.dawnbloom.kr</w:t>
            </w:r>
          </w:p>
        </w:tc>
        <w:tc>
          <w:tcPr>
            <w:tcW w:type="dxa" w:w="3249"/>
            <w:vAlign w:val="center"/>
          </w:tcPr>
          <w:p>
            <w:pPr>
              <w:spacing w:after="40"/>
            </w:pPr>
            <w:r>
              <w:rPr>
                <w:rFonts w:ascii="Noto Sans" w:hAnsi="Noto Sans" w:eastAsia="Arial Unicode MS" w:cs="Noto Sans"/>
                <w:sz w:val="17"/>
              </w:rPr>
              <w:t xml:space="preserve">Офіційні корейські мовні портали dawnbloom.kr та www.dawnbloom.kr використовують перенаправлення HTTPS 301 на </w:t>
            </w:r>
            <w:hyperlink r:id="rId15">
              <w:r>
                <w:rPr>
                  <w:rFonts w:ascii="Noto Sans" w:hAnsi="Noto Sans" w:eastAsia="Arial Unicode MS"/>
                  <w:sz w:val="17"/>
                </w:rPr>
                <w:t xml:space="preserve">https://dawnbloom.net/kr/.</w:t>
              </w:r>
            </w:hyperlink>
            <w:r>
              <w:rPr>
                <w:rFonts w:ascii="Noto Sans" w:hAnsi="Noto Sans" w:eastAsia="Arial Unicode MS" w:cs="Noto Sans"/>
                <w:sz w:val="17"/>
              </w:rPr>
              <w:t xml:space="preserve"> Зміни в DNS можуть потребувати часу для поширення. Вони використовують уніфікований вебсайт і не створюють окремого вебсайту, облікового запису, бази даних чи корейського ігрового сервера.</w:t>
            </w:r>
          </w:p>
        </w:tc>
      </w:tr>
      <w:tr>
        <w:trPr>
          <w:cantSplit/>
        </w:trPr>
        <w:tc>
          <w:tcPr>
            <w:tcW w:type="dxa" w:w="3249"/>
            <w:vAlign w:val="center"/>
          </w:tcPr>
          <w:p>
            <w:pPr>
              <w:spacing w:after="40"/>
            </w:pPr>
            <w:r>
              <w:rPr>
                <w:rFonts w:ascii="Noto Sans" w:hAnsi="Noto Sans" w:eastAsia="Arial Unicode MS" w:cs="Noto Sans"/>
                <w:sz w:val="17"/>
              </w:rPr>
              <w:t>Існуючий вхід захисту китайського бренду</w:t>
            </w:r>
          </w:p>
        </w:tc>
        <w:tc>
          <w:tcPr>
            <w:tcW w:type="dxa" w:w="3249"/>
            <w:vAlign w:val="center"/>
          </w:tcPr>
          <w:p>
            <w:pPr>
              <w:spacing w:after="40"/>
            </w:pPr>
            <w:r>
              <w:rPr>
                <w:rFonts w:ascii="Noto Sans" w:hAnsi="Noto Sans" w:eastAsia="Arial Unicode MS" w:cs="Noto Sans"/>
                <w:sz w:val="17"/>
              </w:rPr>
              <w:t>DAWNBLOOM.com</w:t>
              <w:br/>
              <w:t>xn--jhqp2f4z3amfugzo.com</w:t>
            </w:r>
          </w:p>
        </w:tc>
        <w:tc>
          <w:tcPr>
            <w:tcW w:type="dxa" w:w="3249"/>
            <w:vAlign w:val="center"/>
          </w:tcPr>
          <w:p>
            <w:pPr>
              <w:spacing w:after="40"/>
            </w:pPr>
            <w:r>
              <w:rPr>
                <w:rFonts w:ascii="Noto Sans" w:hAnsi="Noto Sans" w:eastAsia="Arial Unicode MS" w:cs="Noto Sans"/>
                <w:sz w:val="17"/>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Існуючий вхід захисту японського бренду</w:t>
            </w:r>
          </w:p>
        </w:tc>
        <w:tc>
          <w:tcPr>
            <w:tcW w:type="dxa" w:w="3249"/>
            <w:vAlign w:val="center"/>
          </w:tcPr>
          <w:p>
            <w:pPr>
              <w:spacing w:after="40"/>
            </w:pPr>
            <w:r>
              <w:rPr>
                <w:rFonts w:ascii="Noto Sans" w:hAnsi="Noto Sans" w:eastAsia="Arial Unicode MS" w:cs="Noto Sans"/>
                <w:sz w:val="17"/>
              </w:rPr>
              <w:t>光と花咲く森.com</w:t>
              <w:br/>
              <w:t>xn--y8j6bw89l23cbo7ari8a.com</w:t>
            </w:r>
          </w:p>
        </w:tc>
        <w:tc>
          <w:tcPr>
            <w:tcW w:type="dxa" w:w="3249"/>
            <w:vAlign w:val="center"/>
          </w:tcPr>
          <w:p>
            <w:pPr>
              <w:spacing w:after="40"/>
            </w:pPr>
            <w:r>
              <w:rPr>
                <w:rFonts w:ascii="Noto Sans" w:hAnsi="Noto Sans" w:eastAsia="Arial Unicode MS" w:cs="Noto Sans"/>
                <w:sz w:val="17"/>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Електронна пошта служби підтримки клієнтів</w:t>
            </w:r>
          </w:p>
        </w:tc>
        <w:tc>
          <w:tcPr>
            <w:tcW w:type="dxa" w:w="3249"/>
            <w:vAlign w:val="center"/>
          </w:tcPr>
          <w:p>
            <w:pPr>
              <w:spacing w:after="40"/>
            </w:pPr>
            <w:hyperlink r:id="rId16">
              <w:r>
                <w:rPr>
                  <w:rFonts w:ascii="Noto Sans" w:hAnsi="Noto Sans" w:eastAsia="Arial Unicode MS"/>
                  <w:sz w:val="17"/>
                </w:rPr>
                <w:t xml:space="preserve">support@dawnbloom.net</w:t>
              </w:r>
            </w:hyperlink>
          </w:p>
        </w:tc>
        <w:tc>
          <w:tcPr>
            <w:tcW w:type="dxa" w:w="3249"/>
            <w:vAlign w:val="center"/>
          </w:tcPr>
          <w:p>
            <w:pPr>
              <w:spacing w:after="40"/>
            </w:pPr>
            <w:r>
              <w:rPr>
                <w:rFonts w:ascii="Noto Sans" w:hAnsi="Noto Sans" w:eastAsia="Arial Unicode MS" w:cs="Noto Sans"/>
                <w:sz w:val="17"/>
              </w:rPr>
              <w:t>Підтримка гравців, проблеми з обліковими записами, ненормальні ситуації та загальна підтримка</w:t>
            </w:r>
          </w:p>
        </w:tc>
      </w:tr>
      <w:tr>
        <w:trPr>
          <w:cantSplit/>
        </w:trPr>
        <w:tc>
          <w:tcPr>
            <w:tcW w:type="dxa" w:w="3249"/>
            <w:vAlign w:val="center"/>
          </w:tcPr>
          <w:p>
            <w:pPr>
              <w:spacing w:after="40"/>
            </w:pPr>
            <w:r>
              <w:rPr>
                <w:rFonts w:ascii="Noto Sans" w:hAnsi="Noto Sans" w:eastAsia="Arial Unicode MS" w:cs="Noto Sans"/>
                <w:sz w:val="17"/>
              </w:rPr>
              <w:t>Пропозиції / скарги</w:t>
            </w:r>
          </w:p>
        </w:tc>
        <w:tc>
          <w:tcPr>
            <w:tcW w:type="dxa" w:w="3249"/>
            <w:vAlign w:val="center"/>
          </w:tcPr>
          <w:p>
            <w:pPr>
              <w:spacing w:after="40"/>
            </w:pPr>
            <w:hyperlink r:id="rId17">
              <w:r>
                <w:rPr>
                  <w:rFonts w:ascii="Noto Sans" w:hAnsi="Noto Sans" w:eastAsia="Arial Unicode MS"/>
                  <w:sz w:val="17"/>
                </w:rPr>
                <w:t xml:space="preserve">hello@dawnbloom.net</w:t>
              </w:r>
            </w:hyperlink>
          </w:p>
        </w:tc>
        <w:tc>
          <w:tcPr>
            <w:tcW w:type="dxa" w:w="3249"/>
            <w:vAlign w:val="center"/>
          </w:tcPr>
          <w:p>
            <w:pPr>
              <w:spacing w:after="40"/>
            </w:pPr>
            <w:r>
              <w:rPr>
                <w:rFonts w:ascii="Noto Sans" w:hAnsi="Noto Sans" w:eastAsia="Arial Unicode MS" w:cs="Noto Sans"/>
                <w:sz w:val="17"/>
              </w:rPr>
              <w:t>Щоденні пропозиції, скарги на обслуговування та відгуки про досвід</w:t>
            </w:r>
          </w:p>
        </w:tc>
      </w:tr>
      <w:tr>
        <w:trPr>
          <w:cantSplit/>
        </w:trPr>
        <w:tc>
          <w:tcPr>
            <w:tcW w:type="dxa" w:w="3249"/>
            <w:vAlign w:val="center"/>
          </w:tcPr>
          <w:p>
            <w:pPr>
              <w:spacing w:after="40"/>
            </w:pPr>
            <w:r>
              <w:rPr>
                <w:rFonts w:ascii="Noto Sans" w:hAnsi="Noto Sans" w:eastAsia="Arial Unicode MS" w:cs="Noto Sans"/>
                <w:sz w:val="17"/>
              </w:rPr>
              <w:t>Електронна пошта для фінансових операцій</w:t>
            </w:r>
          </w:p>
        </w:tc>
        <w:tc>
          <w:tcPr>
            <w:tcW w:type="dxa" w:w="3249"/>
            <w:vAlign w:val="center"/>
          </w:tcPr>
          <w:p>
            <w:pPr>
              <w:spacing w:after="40"/>
            </w:pPr>
            <w:hyperlink r:id="rId18">
              <w:r>
                <w:rPr>
                  <w:rFonts w:ascii="Noto Sans" w:hAnsi="Noto Sans" w:eastAsia="Arial Unicode MS"/>
                  <w:sz w:val="17"/>
                </w:rPr>
                <w:t xml:space="preserve">billing@dawnbloom.net</w:t>
              </w:r>
            </w:hyperlink>
          </w:p>
        </w:tc>
        <w:tc>
          <w:tcPr>
            <w:tcW w:type="dxa" w:w="3249"/>
            <w:vAlign w:val="center"/>
          </w:tcPr>
          <w:p>
            <w:pPr>
              <w:spacing w:after="40"/>
            </w:pPr>
            <w:r>
              <w:rPr>
                <w:rFonts w:ascii="Noto Sans" w:hAnsi="Noto Sans" w:eastAsia="Arial Unicode MS" w:cs="Noto Sans"/>
                <w:sz w:val="17"/>
              </w:rPr>
              <w:t>Замовлення, платежі, фінансування, повернення коштів та справи, пов'язані з транзакціями</w:t>
            </w:r>
          </w:p>
        </w:tc>
      </w:tr>
      <w:tr>
        <w:trPr>
          <w:cantSplit/>
        </w:trPr>
        <w:tc>
          <w:tcPr>
            <w:tcW w:type="dxa" w:w="3249"/>
            <w:vAlign w:val="center"/>
          </w:tcPr>
          <w:p>
            <w:pPr>
              <w:spacing w:after="40"/>
            </w:pPr>
            <w:r>
              <w:rPr>
                <w:rFonts w:ascii="Noto Sans" w:hAnsi="Noto Sans" w:eastAsia="Arial Unicode MS" w:cs="Noto Sans"/>
                <w:sz w:val="17"/>
              </w:rPr>
              <w:t>Електронна пошта для ЗМІ/співпраці</w:t>
            </w:r>
          </w:p>
        </w:tc>
        <w:tc>
          <w:tcPr>
            <w:tcW w:type="dxa" w:w="3249"/>
            <w:vAlign w:val="center"/>
          </w:tcPr>
          <w:p>
            <w:pPr>
              <w:spacing w:after="40"/>
            </w:pPr>
            <w:hyperlink r:id="rId19">
              <w:r>
                <w:rPr>
                  <w:rFonts w:ascii="Noto Sans" w:hAnsi="Noto Sans" w:eastAsia="Arial Unicode MS"/>
                  <w:sz w:val="17"/>
                </w:rPr>
                <w:t xml:space="preserve">contact@dawnbloom.net</w:t>
              </w:r>
            </w:hyperlink>
          </w:p>
        </w:tc>
        <w:tc>
          <w:tcPr>
            <w:tcW w:type="dxa" w:w="3249"/>
            <w:vAlign w:val="center"/>
          </w:tcPr>
          <w:p>
            <w:pPr>
              <w:spacing w:after="40"/>
            </w:pPr>
            <w:r>
              <w:rPr>
                <w:rFonts w:ascii="Noto Sans" w:hAnsi="Noto Sans" w:eastAsia="Arial Unicode MS" w:cs="Noto Sans"/>
                <w:sz w:val="17"/>
              </w:rPr>
              <w:t>Запити від ЗМІ, бізнес-співпраця та питання, що не стосуються обслуговування клієнтів</w:t>
            </w:r>
          </w:p>
        </w:tc>
      </w:tr>
      <w:tr>
        <w:trPr>
          <w:cantSplit/>
        </w:trPr>
        <w:tc>
          <w:tcPr>
            <w:tcW w:type="dxa" w:w="3249"/>
            <w:vAlign w:val="center"/>
          </w:tcPr>
          <w:p>
            <w:pPr>
              <w:spacing w:after="40"/>
            </w:pPr>
            <w:r>
              <w:rPr>
                <w:rFonts w:ascii="Noto Sans" w:hAnsi="Noto Sans" w:eastAsia="Arial Unicode MS" w:cs="Noto Sans"/>
                <w:sz w:val="17"/>
              </w:rPr>
              <w:t>Юридична електронна пошта/авторські права</w:t>
            </w:r>
          </w:p>
        </w:tc>
        <w:tc>
          <w:tcPr>
            <w:tcW w:type="dxa" w:w="3249"/>
            <w:vAlign w:val="center"/>
          </w:tcPr>
          <w:p>
            <w:pPr>
              <w:spacing w:after="40"/>
            </w:pPr>
            <w:hyperlink r:id="rId20">
              <w:r>
                <w:rPr>
                  <w:rFonts w:ascii="Noto Sans" w:hAnsi="Noto Sans" w:eastAsia="Arial Unicode MS"/>
                  <w:sz w:val="17"/>
                </w:rPr>
                <w:t xml:space="preserve">legal@dawnbloom.net</w:t>
              </w:r>
            </w:hyperlink>
          </w:p>
        </w:tc>
        <w:tc>
          <w:tcPr>
            <w:tcW w:type="dxa" w:w="3249"/>
            <w:vAlign w:val="center"/>
          </w:tcPr>
          <w:p>
            <w:pPr>
              <w:spacing w:after="40"/>
            </w:pPr>
            <w:r>
              <w:rPr>
                <w:rFonts w:ascii="Noto Sans" w:hAnsi="Noto Sans" w:eastAsia="Arial Unicode MS" w:cs="Noto Sans"/>
                <w:sz w:val="17"/>
              </w:rPr>
              <w:t>Правові повідомлення, авторські права, інтелектуальна власність та офіційні правові комунікації</w:t>
            </w:r>
          </w:p>
        </w:tc>
      </w:tr>
      <w:tr>
        <w:trPr>
          <w:cantSplit/>
        </w:trPr>
        <w:tc>
          <w:tcPr>
            <w:tcW w:type="dxa" w:w="3249"/>
            <w:vAlign w:val="center"/>
          </w:tcPr>
          <w:p>
            <w:pPr>
              <w:spacing w:after="40"/>
            </w:pPr>
            <w:r>
              <w:rPr>
                <w:rFonts w:ascii="Noto Sans" w:hAnsi="Noto Sans" w:eastAsia="Arial Unicode MS" w:cs="Noto Sans"/>
                <w:sz w:val="17"/>
              </w:rPr>
              <w:t>Електронна пошта щодо вразливостей у безпеці</w:t>
            </w:r>
          </w:p>
        </w:tc>
        <w:tc>
          <w:tcPr>
            <w:tcW w:type="dxa" w:w="3249"/>
            <w:vAlign w:val="center"/>
          </w:tcPr>
          <w:p>
            <w:pPr>
              <w:spacing w:after="40"/>
            </w:pPr>
            <w:hyperlink r:id="rId21">
              <w:r>
                <w:rPr>
                  <w:rFonts w:ascii="Noto Sans" w:hAnsi="Noto Sans" w:eastAsia="Arial Unicode MS"/>
                  <w:sz w:val="17"/>
                </w:rPr>
                <w:t xml:space="preserve">security@dawnbloom.net</w:t>
              </w:r>
            </w:hyperlink>
          </w:p>
        </w:tc>
        <w:tc>
          <w:tcPr>
            <w:tcW w:type="dxa" w:w="3249"/>
            <w:vAlign w:val="center"/>
          </w:tcPr>
          <w:p>
            <w:pPr>
              <w:spacing w:after="40"/>
            </w:pPr>
            <w:r>
              <w:rPr>
                <w:rFonts w:ascii="Noto Sans" w:hAnsi="Noto Sans" w:eastAsia="Arial Unicode MS" w:cs="Noto Sans"/>
                <w:sz w:val="17"/>
              </w:rPr>
              <w:t>Вразливості в безпеці, технічні проблеми безпеки та відповідальне розкриття інформації</w:t>
            </w:r>
          </w:p>
        </w:tc>
      </w:tr>
    </w:tbl>
    <w:p>
      <w:pPr>
        <w:spacing w:after="40"/>
      </w:pPr>
    </w:p>
    <w:p>
      <w:pPr>
        <w:keepLines w:val="0"/>
      </w:pPr>
      <w:r>
        <w:rPr>
          <w:rFonts w:ascii="Noto Sans" w:hAnsi="Noto Sans" w:eastAsia="Arial Unicode MS" w:cs="Noto Sans"/>
          <w:b w:val="0"/>
        </w:rPr>
        <w:t>Регіональні записи в таблиці лише направляють вибір мови. Вони самостійно не обробляють реєстрацію, автентифікацію, зміну паролів, поповнення, платежі або замовлення. Після звичайного перенаправлення перевірте повне ім'я хоста основної сайти та шлях мови в адресному рядку. Обидва регіональні записи є відкритими та використовують HTTPS 301 перенаправлення до зазначених мовних шляхів основної сайти. Регіональні записи не створюють нового оператора чи бази даних і не мігрують акаунти чи дані гравців. Їхні суфікси не встановлюють хостинг на материковому Китаї, реєстрацію ICP чи японську корпорацію чи філію. Оператор надав ідентифікацію реєстрації компанії для китайського запису. Зареєстрований власник та офіційний дозвіл японського запису ще потребують перевірки; це повідомлення не стверджує прямого володіння компанією. Існуючі домени захисту бренду залишаються в списку. Саме відображення Punycode не є доказом підробки, але перевірте повне написання та кінцеву адресу. Інші домени-подібники не стають офіційними через схожість. Офіційна електронна пошта досі використовує лише @dawnbloom.net.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Сервіс</w:t>
            </w:r>
          </w:p>
        </w:tc>
        <w:tc>
          <w:tcPr>
            <w:tcW w:type="dxa" w:w="4873"/>
            <w:vAlign w:val="center"/>
            <w:shd w:fill="DCE8F7"/>
          </w:tcPr>
          <w:p>
            <w:pPr>
              <w:keepNext/>
              <w:spacing w:after="40"/>
            </w:pPr>
            <w:r>
              <w:rPr>
                <w:rFonts w:ascii="Noto Sans" w:hAnsi="Noto Sans" w:eastAsia="Arial Unicode MS" w:cs="Noto Sans"/>
                <w:b/>
                <w:sz w:val="17"/>
              </w:rPr>
              <w:t>Офіційний шлях основної сайти (замініть zh на en або ja)</w:t>
            </w:r>
          </w:p>
        </w:tc>
      </w:tr>
      <w:tr>
        <w:trPr>
          <w:cantSplit/>
        </w:trPr>
        <w:tc>
          <w:tcPr>
            <w:tcW w:type="dxa" w:w="4873"/>
            <w:vAlign w:val="center"/>
          </w:tcPr>
          <w:p>
            <w:pPr>
              <w:spacing w:after="40"/>
            </w:pPr>
            <w:r>
              <w:rPr>
                <w:rFonts w:ascii="Noto Sans" w:hAnsi="Noto Sans" w:eastAsia="Arial Unicode MS" w:cs="Noto Sans"/>
                <w:sz w:val="17"/>
              </w:rPr>
              <w:t>Вхід в акаунт</w:t>
            </w:r>
          </w:p>
        </w:tc>
        <w:tc>
          <w:tcPr>
            <w:tcW w:type="dxa" w:w="4873"/>
            <w:vAlign w:val="center"/>
          </w:tcPr>
          <w:p>
            <w:pPr>
              <w:spacing w:after="40"/>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pPr>
            <w:r>
              <w:rPr>
                <w:rFonts w:ascii="Noto Sans" w:hAnsi="Noto Sans" w:eastAsia="Arial Unicode MS" w:cs="Noto Sans"/>
                <w:sz w:val="17"/>
              </w:rPr>
              <w:t>Відновлення та контроль безпеки</w:t>
            </w:r>
          </w:p>
        </w:tc>
        <w:tc>
          <w:tcPr>
            <w:tcW w:type="dxa" w:w="4873"/>
            <w:vAlign w:val="center"/>
          </w:tcPr>
          <w:p>
            <w:pPr>
              <w:spacing w:after="40"/>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pPr>
            <w:r>
              <w:rPr>
                <w:rFonts w:ascii="Noto Sans" w:hAnsi="Noto Sans" w:eastAsia="Arial Unicode MS" w:cs="Noto Sans"/>
                <w:sz w:val="17"/>
              </w:rPr>
              <w:t>Підтримка та контакт</w:t>
            </w:r>
          </w:p>
        </w:tc>
        <w:tc>
          <w:tcPr>
            <w:tcW w:type="dxa" w:w="4873"/>
            <w:vAlign w:val="center"/>
          </w:tcPr>
          <w:p>
            <w:pPr>
              <w:spacing w:after="40"/>
            </w:pPr>
            <w:r>
              <w:rPr>
                <w:rFonts w:ascii="Noto Sans" w:hAnsi="Noto Sans" w:eastAsia="Arial Unicode MS" w:cs="Noto Sans"/>
                <w:sz w:val="17"/>
              </w:rPr>
              <w:t>https://dawnbloom.net/zh/support/</w:t>
              <w:br/>
              <w:t>https://dawnbloom.net/zh/support/contact/</w:t>
            </w:r>
          </w:p>
        </w:tc>
      </w:tr>
      <w:tr>
        <w:trPr>
          <w:cantSplit/>
        </w:trPr>
        <w:tc>
          <w:tcPr>
            <w:tcW w:type="dxa" w:w="4873"/>
            <w:vAlign w:val="center"/>
          </w:tcPr>
          <w:p>
            <w:pPr>
              <w:spacing w:after="40"/>
            </w:pPr>
            <w:r>
              <w:rPr>
                <w:rFonts w:ascii="Noto Sans" w:hAnsi="Noto Sans" w:eastAsia="Arial Unicode MS" w:cs="Noto Sans"/>
                <w:sz w:val="17"/>
              </w:rPr>
              <w:t>Офіційні завантаження</w:t>
            </w:r>
          </w:p>
        </w:tc>
        <w:tc>
          <w:tcPr>
            <w:tcW w:type="dxa" w:w="4873"/>
            <w:vAlign w:val="center"/>
          </w:tcPr>
          <w:p>
            <w:pPr>
              <w:spacing w:after="40"/>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pPr>
            <w:r>
              <w:rPr>
                <w:rFonts w:ascii="Noto Sans" w:hAnsi="Noto Sans" w:eastAsia="Arial Unicode MS" w:cs="Noto Sans"/>
                <w:sz w:val="17"/>
              </w:rPr>
              <w:t>Магазин, поповнення та билінг (залежно від доступності)</w:t>
            </w:r>
          </w:p>
        </w:tc>
        <w:tc>
          <w:tcPr>
            <w:tcW w:type="dxa" w:w="4873"/>
            <w:vAlign w:val="center"/>
          </w:tcPr>
          <w:p>
            <w:pPr>
              <w:spacing w:after="40"/>
            </w:pPr>
            <w:r>
              <w:rPr>
                <w:rFonts w:ascii="Noto Sans" w:hAnsi="Noto Sans" w:eastAsia="Arial Unicode MS" w:cs="Noto Sans"/>
                <w:sz w:val="17"/>
              </w:rPr>
              <w:t>https://dawnbloom.net/zh/shop/</w:t>
              <w:br/>
              <w:t>https://dawnbloom.net/zh/recharge/</w:t>
              <w:br/>
              <w:t>https://dawnbloom.net/zh/support/billing/</w:t>
            </w:r>
          </w:p>
        </w:tc>
      </w:tr>
    </w:tbl>
    <w:p>
      <w:pPr>
        <w:spacing w:after="40"/>
      </w:pPr>
    </w:p>
    <w:p>
      <w:pPr>
        <w:pStyle w:val="Heading1"/>
        <w:keepLines w:val="0"/>
      </w:pPr>
      <w:r>
        <w:rPr>
          <w:rFonts w:ascii="Noto Sans" w:hAnsi="Noto Sans" w:eastAsia="Arial Unicode MS" w:cs="Noto Sans"/>
          <w:b w:val="0"/>
        </w:rPr>
        <w:t>Операційна одиниця та юридична контактна інформація</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Проєкт</w:t>
            </w:r>
          </w:p>
        </w:tc>
        <w:tc>
          <w:tcPr>
            <w:tcW w:type="dxa" w:w="4873"/>
            <w:vAlign w:val="center"/>
            <w:shd w:fill="DCE8F7"/>
          </w:tcPr>
          <w:p>
            <w:pPr>
              <w:keepNext/>
              <w:spacing w:after="40"/>
            </w:pPr>
            <w:r>
              <w:rPr>
                <w:rFonts w:ascii="Noto Sans" w:hAnsi="Noto Sans" w:eastAsia="Arial Unicode MS" w:cs="Noto Sans"/>
                <w:b/>
                <w:sz w:val="17"/>
              </w:rPr>
              <w:t>Інформація</w:t>
            </w:r>
          </w:p>
        </w:tc>
      </w:tr>
      <w:tr>
        <w:trPr>
          <w:cantSplit/>
        </w:trPr>
        <w:tc>
          <w:tcPr>
            <w:tcW w:type="dxa" w:w="4873"/>
            <w:vAlign w:val="center"/>
          </w:tcPr>
          <w:p>
            <w:pPr>
              <w:spacing w:after="40"/>
            </w:pPr>
            <w:r>
              <w:rPr>
                <w:rFonts w:ascii="Noto Sans" w:hAnsi="Noto Sans" w:eastAsia="Arial Unicode MS" w:cs="Noto Sans"/>
                <w:sz w:val="17"/>
              </w:rPr>
              <w:t>Оператор / постачальник послуг вебсайту</w:t>
            </w:r>
          </w:p>
        </w:tc>
        <w:tc>
          <w:tcPr>
            <w:tcW w:type="dxa" w:w="4873"/>
            <w:vAlign w:val="center"/>
          </w:tcPr>
          <w:p>
            <w:pPr>
              <w:spacing w:after="40"/>
            </w:pPr>
            <w:r>
              <w:rPr>
                <w:rFonts w:ascii="Noto Sans" w:hAnsi="Noto Sans" w:eastAsia="Arial Unicode MS" w:cs="Noto Sans"/>
                <w:sz w:val="17"/>
              </w:rPr>
              <w:t>上海追光智创文化传媒有限公司 (Англійська назва для публіки: SHANGHAI LUMIREALM CREATIVE MEDIA CO., LTD.)</w:t>
            </w:r>
          </w:p>
        </w:tc>
      </w:tr>
      <w:tr>
        <w:trPr>
          <w:cantSplit/>
        </w:trPr>
        <w:tc>
          <w:tcPr>
            <w:tcW w:type="dxa" w:w="4873"/>
            <w:vAlign w:val="center"/>
          </w:tcPr>
          <w:p>
            <w:pPr>
              <w:spacing w:after="40"/>
            </w:pPr>
            <w:r>
              <w:rPr>
                <w:rFonts w:ascii="Noto Sans" w:hAnsi="Noto Sans" w:eastAsia="Arial Unicode MS" w:cs="Noto Sans"/>
                <w:sz w:val="17"/>
              </w:rPr>
              <w:t>Операційна адреса / юридична адреса контакту</w:t>
            </w:r>
          </w:p>
        </w:tc>
        <w:tc>
          <w:tcPr>
            <w:tcW w:type="dxa" w:w="4873"/>
            <w:vAlign w:val="center"/>
          </w:tcPr>
          <w:p>
            <w:pPr>
              <w:spacing w:after="40"/>
            </w:pPr>
            <w:r>
              <w:rPr>
                <w:rFonts w:ascii="Noto Sans" w:hAnsi="Noto Sans" w:eastAsia="Arial Unicode MS" w:cs="Noto Sans"/>
                <w:sz w:val="17"/>
              </w:rPr>
              <w:t>Кімната 218, Будівля 3, № 336 вулиця Тяньцзяо, Спеціальна зона Лінган, Пілотна зона вільної торгівлі Китаю (Шанхай), Китай</w:t>
            </w:r>
          </w:p>
        </w:tc>
      </w:tr>
    </w:tbl>
    <w:p>
      <w:pPr>
        <w:spacing w:after="40"/>
      </w:pPr>
    </w:p>
    <w:p>
      <w:pPr>
        <w:pStyle w:val="Heading1"/>
        <w:keepLines w:val="0"/>
      </w:pPr>
      <w:r>
        <w:rPr>
          <w:rFonts w:ascii="Noto Sans" w:hAnsi="Noto Sans" w:eastAsia="Arial Unicode MS" w:cs="Noto Sans"/>
          <w:b w:val="0"/>
        </w:rPr>
        <w:t>3. Офіційні соціальні мережі та канали миттєвого зв'язку</w:t>
      </w:r>
    </w:p>
    <w:p>
      <w:pPr>
        <w:keepLines w:val="0"/>
      </w:pPr>
      <w:r>
        <w:rPr>
          <w:rFonts w:ascii="Noto Sans" w:hAnsi="Noto Sans" w:eastAsia="Arial Unicode MS" w:cs="Noto Sans"/>
          <w:b w:val="0"/>
        </w:rPr>
        <w:t xml:space="preserve">Офіційні назви, імена користувачів та посилання на платформи можуть змінюватися. Відкрийте зазначені канали через розділи Підтримки або Контакту на основному сайті; результати пошуку, аватари чи кількість підписників не підтверджують особу. Перевірте сумнівні контакти через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pStyle w:val="ListBullet"/>
        <w:keepLines w:val="0"/>
      </w:pPr>
      <w:r>
        <w:rPr>
          <w:rFonts w:ascii="Noto Sans" w:hAnsi="Noto Sans" w:eastAsia="Arial Unicode MS" w:cs="Noto Sans"/>
          <w:b w:val="0"/>
        </w:rPr>
        <w:t>Підтримувані платформи можуть включати Facebook, Threads, Instagram, YouTube, X, Bluesky, Xiaohongshu, WeChat, Douyin та інші.</w:t>
      </w:r>
    </w:p>
    <w:p>
      <w:pPr>
        <w:pStyle w:val="ListBullet"/>
        <w:keepLines w:val="0"/>
      </w:pPr>
      <w:r>
        <w:rPr>
          <w:rFonts w:ascii="Noto Sans" w:hAnsi="Noto Sans" w:eastAsia="Arial Unicode MS" w:cs="Noto Sans"/>
          <w:b w:val="0"/>
        </w:rPr>
        <w:t>Якщо акаунт на будь-якій платформі не внесено до офіційної сторінки каналів dawnbloom.net, навіть якщо його назва, аватар або контент схожі на офіційні, не вважайте його офіційним акаунтом лише на основі візуального подібства.</w:t>
      </w:r>
    </w:p>
    <w:p>
      <w:pPr>
        <w:pStyle w:val="ListBullet"/>
        <w:keepLines w:val="0"/>
      </w:pPr>
      <w:r>
        <w:rPr>
          <w:rFonts w:ascii="Noto Sans" w:hAnsi="Noto Sans" w:eastAsia="Arial Unicode MS" w:cs="Noto Sans"/>
          <w:b w:val="0"/>
        </w:rPr>
        <w:t>Будь-яке додавання, призупинення, переміщення або перейменування офіційних каналів буде регулюватися останнім офіційним оголошенням на dawnbloom.net.</w:t>
      </w:r>
    </w:p>
    <w:p>
      <w:pPr>
        <w:pStyle w:val="Heading1"/>
        <w:keepLines w:val="0"/>
      </w:pPr>
      <w:r>
        <w:rPr>
          <w:rFonts w:ascii="Noto Sans" w:hAnsi="Noto Sans" w:eastAsia="Arial Unicode MS" w:cs="Noto Sans"/>
          <w:b w:val="0"/>
        </w:rPr>
        <w:t>4. Речі, яких офіційний співробітник ніколи не попросить вас зробити</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Будьте пильними: співробітники офіційної служби підтримки ніколи не запитують ваш пароль облікового запису, одноразовий код верифікації або пароль платежу через приватні повідомлення. Вони також ніколи не попросять вас переказати гроші на особистий рахунок під приводом «розблокування», «повернення коштів», «отримання винагороди», «відновлення обладнання» або «верифікації активів».</w:t>
            </w:r>
          </w:p>
        </w:tc>
      </w:tr>
    </w:tbl>
    <w:p>
      <w:pPr>
        <w:spacing w:after="40"/>
      </w:pPr>
    </w:p>
    <w:p>
      <w:pPr>
        <w:keepLines w:val="0"/>
      </w:pPr>
      <w:r>
        <w:rPr>
          <w:rFonts w:ascii="Noto Sans" w:hAnsi="Noto Sans" w:eastAsia="Arial Unicode MS" w:cs="Noto Sans"/>
          <w:b w:val="0"/>
        </w:rPr>
        <w:t>Коди, що змінюються, токени, деталі відновлення облікового запису та розмови з Довідником DAWNBLOOM ніколи не є підставою для запиту пароля або платежу в приватному чаті. Довідник DAWNBLOOM не обходить офіційні перевірки для облікових записів, активів, апеляцій чи внутрішніх даних.</w:t>
      </w:r>
    </w:p>
    <w:p>
      <w:pPr>
        <w:pStyle w:val="ListBullet"/>
        <w:keepLines w:val="0"/>
      </w:pPr>
      <w:r>
        <w:rPr>
          <w:rFonts w:ascii="Noto Sans" w:hAnsi="Noto Sans" w:eastAsia="Arial Unicode MS" w:cs="Noto Sans"/>
          <w:b w:val="0"/>
        </w:rPr>
        <w:t>Ніколи не буде запрошено ваш пароль ігрового облікового запису, пароль Apple ID, пароль Steam, пароль платежу WeChat/Alipay або пароль банківської картки.</w:t>
      </w:r>
    </w:p>
    <w:p>
      <w:pPr>
        <w:pStyle w:val="ListBullet"/>
        <w:keepLines w:val="0"/>
      </w:pPr>
      <w:r>
        <w:rPr>
          <w:rFonts w:ascii="Noto Sans" w:hAnsi="Noto Sans" w:eastAsia="Arial Unicode MS" w:cs="Noto Sans"/>
          <w:b w:val="0"/>
        </w:rPr>
        <w:t>Ніколи не буде запрошено ваш SMS-код верифікації, код верифікації електронної пошти, код двофакторної автентифікації, динамічний ключ Lightseeker Token (якщо увімкнено) або будь-який інший одноразовий код безпеки.</w:t>
      </w:r>
    </w:p>
    <w:p>
      <w:pPr>
        <w:pStyle w:val="ListBullet"/>
        <w:keepLines w:val="0"/>
      </w:pPr>
      <w:r>
        <w:rPr>
          <w:rFonts w:ascii="Noto Sans" w:hAnsi="Noto Sans" w:eastAsia="Arial Unicode MS" w:cs="Noto Sans"/>
          <w:b w:val="0"/>
        </w:rPr>
        <w:t>Ніколи не буде запрошено увімкнути спільний доступ до екрана, віддалене керування або встановити будь-яке невідоме програмне забезпечення для віддаленої допомоги, APK, описові файли, розширення браузера чи так званий "плагін безпеки".</w:t>
      </w:r>
    </w:p>
    <w:p>
      <w:pPr>
        <w:pStyle w:val="ListBullet"/>
        <w:keepLines w:val="0"/>
      </w:pPr>
      <w:r>
        <w:rPr>
          <w:rFonts w:ascii="Noto Sans" w:hAnsi="Noto Sans" w:eastAsia="Arial Unicode MS" w:cs="Noto Sans"/>
          <w:b w:val="0"/>
        </w:rPr>
        <w:t>Ми ніколи не попросимо вас переказати Magic Coins, Phantom Beasts, обладнання чи предмети в грі на так звані "GM-акаунт", "безпечний акаунт" або "акаунт верифікації" для валідації.</w:t>
      </w:r>
    </w:p>
    <w:p>
      <w:pPr>
        <w:pStyle w:val="ListBullet"/>
        <w:keepLines w:val="0"/>
      </w:pPr>
      <w:r>
        <w:rPr>
          <w:rFonts w:ascii="Noto Sans" w:hAnsi="Noto Sans" w:eastAsia="Arial Unicode MS" w:cs="Noto Sans"/>
          <w:b w:val="0"/>
        </w:rPr>
        <w:t>Ніколи не буде запрошено здійснити оплату через особистий WeChat, особистий Alipay, приватну банківську картку, подарункову картку, адресу криптовалюти чи будь-який інший неофіційний платіжний канал.</w:t>
      </w:r>
    </w:p>
    <w:p>
      <w:pPr>
        <w:pStyle w:val="ListBullet"/>
        <w:keepLines w:val="0"/>
      </w:pPr>
      <w:r>
        <w:rPr>
          <w:rFonts w:ascii="Noto Sans" w:hAnsi="Noto Sans" w:eastAsia="Arial Unicode MS" w:cs="Noto Sans"/>
          <w:b w:val="0"/>
        </w:rPr>
        <w:t>Ніколи не буде запрошено додаткові платежі під приводом "переказ перед поверненням", "сплата депозиту спочатку", "плата за розблокування акаунту", "плата за звільнення штрафу", "плата за верифікацію" або "плата за обробку отримання призу".</w:t>
      </w:r>
    </w:p>
    <w:p>
      <w:pPr>
        <w:pStyle w:val="ListBullet"/>
        <w:keepLines w:val="0"/>
      </w:pPr>
      <w:r>
        <w:rPr>
          <w:rFonts w:ascii="Noto Sans" w:hAnsi="Noto Sans" w:eastAsia="Arial Unicode MS" w:cs="Noto Sans"/>
          <w:b w:val="0"/>
        </w:rPr>
        <w:t>Ніколи не буде запрошено повторно увійти у свій ігровий обліковий запис або ввести повні платіжні дані через неофіційні посилання.</w:t>
      </w:r>
    </w:p>
    <w:p>
      <w:pPr>
        <w:pStyle w:val="ListBullet"/>
        <w:keepLines w:val="0"/>
      </w:pPr>
      <w:r>
        <w:rPr>
          <w:rFonts w:ascii="Noto Sans" w:hAnsi="Noto Sans" w:eastAsia="Arial Unicode MS" w:cs="Noto Sans"/>
          <w:b w:val="0"/>
        </w:rPr>
        <w:t>Ніколи не буде обіцяно приватних платних змін штрафів, підвищення ймовірності виграшу, розподілу рідкісних предметів або обходу офіційних правил.</w:t>
      </w:r>
    </w:p>
    <w:p>
      <w:pPr>
        <w:pStyle w:val="Heading1"/>
        <w:keepLines w:val="0"/>
      </w:pPr>
      <w:r>
        <w:rPr>
          <w:rFonts w:ascii="Noto Sans" w:hAnsi="Noto Sans" w:eastAsia="Arial Unicode MS" w:cs="Noto Sans"/>
          <w:b w:val="0"/>
        </w:rPr>
        <w:t>П'ять. Поширені методи підробки</w:t>
      </w:r>
    </w:p>
    <w:p>
      <w:pPr>
        <w:pStyle w:val="ListBullet"/>
        <w:keepLines w:val="0"/>
      </w:pPr>
      <w:r>
        <w:rPr>
          <w:rFonts w:ascii="Noto Sans" w:hAnsi="Noto Sans" w:eastAsia="Arial Unicode MS" w:cs="Noto Sans"/>
          <w:b w:val="0"/>
        </w:rPr>
        <w:t>Використовує домени, написання, субдомени або короткі посилання, надзвичайно схожі на dawnbloom.net, щоб спокусити гравців увійти в систему.</w:t>
      </w:r>
    </w:p>
    <w:p>
      <w:pPr>
        <w:keepLines w:val="0"/>
      </w:pPr>
      <w:r>
        <w:rPr>
          <w:rFonts w:ascii="Noto Sans" w:hAnsi="Noto Sans" w:eastAsia="Arial Unicode MS" w:cs="Noto Sans"/>
          <w:b w:val="0"/>
        </w:rPr>
        <w:t>Фальшиві вебсайти, списки магазинів, файли APK або EXE, оновлення браузера, клієнти News чи Mail, інструменти Download чи Archive, сторінки Token та послуги Dawnbloom Guide можуть вимагати облікові дані або встановлювати шкідливе ПЗ. Довіряйте dawnbloom.net та офіційним магазинам, на які воно прямо посилається; Google Drive та Baidu Netdisk не є поточними офіційними дзеркалами.</w:t>
      </w:r>
    </w:p>
    <w:p>
      <w:pPr>
        <w:pStyle w:val="ListBullet"/>
        <w:keepLines w:val="0"/>
      </w:pPr>
      <w:r>
        <w:rPr>
          <w:rFonts w:ascii="Noto Sans" w:hAnsi="Noto Sans" w:eastAsia="Arial Unicode MS" w:cs="Noto Sans"/>
          <w:b w:val="0"/>
        </w:rPr>
        <w:t>Копіює офіційні аватари, логотипи, скрипти служби підтримки та зображення оголошень для створення високоякісних акаунтів у соціальних мережах, групових чатів або сторінок оплати.</w:t>
      </w:r>
    </w:p>
    <w:p>
      <w:pPr>
        <w:pStyle w:val="ListBullet"/>
        <w:keepLines w:val="0"/>
      </w:pPr>
      <w:r>
        <w:rPr>
          <w:rFonts w:ascii="Noto Sans" w:hAnsi="Noto Sans" w:eastAsia="Arial Unicode MS" w:cs="Noto Sans"/>
          <w:b w:val="0"/>
        </w:rPr>
        <w:t>Надає себе за GM, службу підтримки, адміністраторів, співпрацюючих стримерів або "внутрішній персонал", стверджуючи про ризики для акаунтів та створюючи терміновість.</w:t>
      </w:r>
    </w:p>
    <w:p>
      <w:pPr>
        <w:pStyle w:val="ListBullet"/>
        <w:keepLines w:val="0"/>
      </w:pPr>
      <w:r>
        <w:rPr>
          <w:rFonts w:ascii="Noto Sans" w:hAnsi="Noto Sans" w:eastAsia="Arial Unicode MS" w:cs="Noto Sans"/>
          <w:b w:val="0"/>
        </w:rPr>
        <w:t>Використовує приманки, такі як "безкоштовні магічні монети", "рідкісні фантомні звірі", "виграні призи", "кваліфікація для тестування", "компенсація повернення коштів" або "внутрішні подарункові набори", щоб надсилати QR-коди або посилання.</w:t>
      </w:r>
    </w:p>
    <w:p>
      <w:pPr>
        <w:pStyle w:val="ListBullet"/>
        <w:keepLines w:val="0"/>
      </w:pPr>
      <w:r>
        <w:rPr>
          <w:rFonts w:ascii="Noto Sans" w:hAnsi="Noto Sans" w:eastAsia="Arial Unicode MS" w:cs="Noto Sans"/>
          <w:b w:val="0"/>
        </w:rPr>
        <w:t>Надає себе за службу підтримки та проактивно додає вас як друга, вимагаючи коди верифікації, скріншоти активів, спільний доступ до екрана або перекази.</w:t>
      </w:r>
    </w:p>
    <w:p>
      <w:pPr>
        <w:pStyle w:val="ListBullet"/>
        <w:keepLines w:val="0"/>
      </w:pPr>
      <w:r>
        <w:rPr>
          <w:rFonts w:ascii="Noto Sans" w:hAnsi="Noto Sans" w:eastAsia="Arial Unicode MS" w:cs="Noto Sans"/>
          <w:b w:val="0"/>
        </w:rPr>
        <w:t>Використовує крадені акаунти друзів для надсилання посилань або файлів, через що джерело виглядає легітимним.</w:t>
      </w:r>
    </w:p>
    <w:p>
      <w:pPr>
        <w:pStyle w:val="Heading1"/>
        <w:keepLines w:val="0"/>
      </w:pPr>
      <w:r>
        <w:rPr>
          <w:rFonts w:ascii="Noto Sans" w:hAnsi="Noto Sans" w:eastAsia="Arial Unicode MS" w:cs="Noto Sans"/>
          <w:b w:val="0"/>
        </w:rPr>
        <w:t>Розділ шість: Оплата та безпека магазину</w:t>
      </w:r>
    </w:p>
    <w:p>
      <w:pPr>
        <w:keepLines w:val="0"/>
      </w:pPr>
      <w:r>
        <w:rPr>
          <w:rFonts w:ascii="Noto Sans" w:hAnsi="Noto Sans" w:eastAsia="Arial Unicode MS" w:cs="Noto Sans"/>
          <w:b w:val="0"/>
        </w:rPr>
        <w:t>Усі офіційні цифрові товари, скрині та інший контент у магазині регулюватимуться відображенням на офіційному вебсайті та офіційних точках входу в грі. Гравці повинні здійснювати платежі через офіційний вебсайт або через визначені сторонні платіжні/додаткові магазини, перелічені офіційними особами.</w:t>
      </w:r>
    </w:p>
    <w:p>
      <w:pPr>
        <w:keepLines w:val="0"/>
      </w:pPr>
      <w:r>
        <w:rPr>
          <w:rFonts w:ascii="Noto Sans" w:hAnsi="Noto Sans" w:eastAsia="Arial Unicode MS" w:cs="Noto Sans"/>
          <w:b w:val="0"/>
        </w:rPr>
        <w:t xml:space="preserve">Якщо сторінка замовлення, одержувач платежу, сума, домен або URL перенаправлення значно відрізняються від того, що публічно оголошено на офіційному вебсайті, припиніть усі транзакції та перевірте їх через </w:t>
      </w:r>
      <w:hyperlink r:id="rId18">
        <w:r>
          <w:rPr>
            <w:rFonts w:ascii="Noto Sans" w:hAnsi="Noto Sans" w:eastAsia="Arial Unicode MS"/>
            <w:b w:val="0"/>
          </w:rPr>
          <w:t xml:space="preserve">billing@dawnbloom.net</w:t>
        </w:r>
      </w:hyperlink>
      <w:r>
        <w:rPr>
          <w:rFonts w:ascii="Noto Sans" w:hAnsi="Noto Sans" w:eastAsia="Arial Unicode MS" w:cs="Noto Sans"/>
          <w:b w:val="0"/>
        </w:rPr>
        <w:t xml:space="preserve"> або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 Жодні офлайн приватні платежі або приватні послуги «поповнення балансу в грі» не вважаються офіційними транзакціями.</w:t>
      </w:r>
    </w:p>
    <w:p>
      <w:pPr>
        <w:pStyle w:val="Heading1"/>
        <w:keepLines w:val="0"/>
      </w:pPr>
      <w:r>
        <w:rPr>
          <w:rFonts w:ascii="Noto Sans" w:hAnsi="Noto Sans" w:eastAsia="Arial Unicode MS" w:cs="Noto Sans"/>
          <w:b w:val="0"/>
        </w:rPr>
        <w:t>Розділ сім: Що робити при отриманні підозрілих повідомлень</w:t>
      </w:r>
    </w:p>
    <w:p>
      <w:pPr>
        <w:pStyle w:val="ListBullet"/>
        <w:keepLines w:val="0"/>
      </w:pPr>
      <w:r>
        <w:rPr>
          <w:rFonts w:ascii="Noto Sans" w:hAnsi="Noto Sans" w:eastAsia="Arial Unicode MS" w:cs="Noto Sans"/>
          <w:b w:val="0"/>
        </w:rPr>
        <w:t>Не продовжуйте: Не натискайте на посилання, не скануйте QR-коди, не завантажуйте файли, не вводьте дані облікового запису або не здійснюйте платежі.</w:t>
      </w:r>
    </w:p>
    <w:p>
      <w:pPr>
        <w:pStyle w:val="ListBullet"/>
        <w:keepLines w:val="0"/>
      </w:pPr>
      <w:r>
        <w:rPr>
          <w:rFonts w:ascii="Noto Sans" w:hAnsi="Noto Sans" w:eastAsia="Arial Unicode MS" w:cs="Noto Sans"/>
          <w:b w:val="0"/>
        </w:rPr>
        <w:t>Зберігайте докази: Збережіть домашню сторінку свого акаунту, записи чату, посилання, QR-коди, сторінки переказів, номери замовлень та мітки часу.</w:t>
      </w:r>
    </w:p>
    <w:p>
      <w:pPr>
        <w:pStyle w:val="ListBullet"/>
        <w:keepLines w:val="0"/>
      </w:pPr>
      <w:r>
        <w:rPr>
          <w:rFonts w:ascii="Noto Sans" w:hAnsi="Noto Sans" w:eastAsia="Arial Unicode MS" w:cs="Noto Sans"/>
          <w:b w:val="0"/>
        </w:rPr>
        <w:t>Введіть адресу головного сайту самостійно та використовуйте навігацію до Player Center, Support або Downloads. Не покладайтеся на мітку посилання незнайомця. Увійдіть через головний сайт Player Center; відкрийте відновлення та чутливі керування з Support Account Management. Використовуйте головний сайт shop, recharge та billing entries для платежів та замовлень, перевіряючи фактичну наявність та будь-яку платіжну платформу на цих сторінках.</w:t>
      </w:r>
    </w:p>
    <w:p>
      <w:pPr>
        <w:pStyle w:val="ListBullet"/>
        <w:keepLines w:val="0"/>
      </w:pPr>
      <w:r>
        <w:rPr>
          <w:rFonts w:ascii="Noto Sans" w:hAnsi="Noto Sans" w:eastAsia="Arial Unicode MS" w:cs="Noto Sans"/>
          <w:b w:val="0"/>
        </w:rPr>
        <w:t>Якщо дані облікового запису вже було введено: негайно змініть пароль, вийдіть з усіх інших активних сеансів та перевірте безпеку пов'язаних електронних пошт, Apple, Steam, WeChat та інших акаунтів третіх осіб.</w:t>
      </w:r>
    </w:p>
    <w:p>
      <w:pPr>
        <w:pStyle w:val="ListBullet"/>
        <w:keepLines w:val="0"/>
      </w:pPr>
      <w:r>
        <w:rPr>
          <w:rFonts w:ascii="Noto Sans" w:hAnsi="Noto Sans" w:eastAsia="Arial Unicode MS" w:cs="Noto Sans"/>
          <w:b w:val="0"/>
        </w:rPr>
        <w:t>Якщо платіж вже було здійснено: негайно зверніться до платіжної платформи, банку-емітента або відповідного фінансового установи з проханням про зупинення платежу, оскарження або заморожування коштів; у випадках із великими сумами або підозрілою кримінальною діяльністю негайно повідомте про інцидент місцевим правоохоронним органам.</w:t>
      </w:r>
    </w:p>
    <w:p>
      <w:pPr>
        <w:pStyle w:val="ListBullet"/>
        <w:keepLines w:val="0"/>
      </w:pPr>
      <w:r>
        <w:rPr>
          <w:rFonts w:ascii="Noto Sans" w:hAnsi="Noto Sans" w:eastAsia="Arial Unicode MS" w:cs="Noto Sans"/>
          <w:b w:val="0"/>
        </w:rPr>
        <w:t>У разі виявлення підробленого облікового запису: повідомте про нього на відповідній платформі та надішліть посилання на сторінку до офіційної служби підтримки для подальшої перевірки та публічного розголошення.</w:t>
      </w:r>
    </w:p>
    <w:p>
      <w:pPr>
        <w:pStyle w:val="Heading1"/>
        <w:keepLines w:val="0"/>
      </w:pPr>
      <w:r>
        <w:rPr>
          <w:rFonts w:ascii="Noto Sans" w:hAnsi="Noto Sans" w:eastAsia="Arial Unicode MS" w:cs="Noto Sans"/>
          <w:b w:val="0"/>
        </w:rPr>
        <w:t>Вісім. Інформація, яку офіційна особа може запросити для перевірки</w:t>
      </w:r>
    </w:p>
    <w:p>
      <w:pPr>
        <w:keepLines w:val="0"/>
      </w:pPr>
      <w:r>
        <w:rPr>
          <w:rFonts w:ascii="Noto Sans" w:hAnsi="Noto Sans" w:eastAsia="Arial Unicode MS" w:cs="Noto Sans"/>
          <w:b w:val="0"/>
        </w:rPr>
        <w:t>Для вирішення проблем, пов'язаних з обліковими записами, замовленнями, крадіжкою облікового запису, ненормальними транзакціями або суперечками зі службою підтримки, офіційні представники можуть попросити вас надати необхідну інформацію для верифікації, таку як: назва облікового запису, ім'я персонажа/ID персонажа, номер замовлення, час виникнення інциденту, дані пристрою або входу, скріншоти з гри, відповідні скріншоти чату та ваші активно надіслані контактні дані.</w:t>
      </w:r>
    </w:p>
    <w:p>
      <w:pPr>
        <w:keepLines w:val="0"/>
      </w:pPr>
      <w:r>
        <w:rPr>
          <w:rFonts w:ascii="Noto Sans" w:hAnsi="Noto Sans" w:eastAsia="Arial Unicode MS" w:cs="Noto Sans"/>
          <w:b w:val="0"/>
        </w:rPr>
        <w:t>Ми дотримуємося принципу мінімально необхідних даних і не будемо запитувати будь-які високоризикові облікові дані, не пов'язані з проблемою. Зокрема, ми ніколи не запитуватимемо ваш пароль облікового запису, пароль платежу або одноразовий код верифікації.</w:t>
      </w:r>
    </w:p>
    <w:p>
      <w:pPr>
        <w:pStyle w:val="Heading1"/>
        <w:keepLines w:val="0"/>
      </w:pPr>
      <w:r>
        <w:rPr>
          <w:rFonts w:ascii="Noto Sans" w:hAnsi="Noto Sans" w:eastAsia="Arial Unicode MS" w:cs="Noto Sans"/>
          <w:b w:val="0"/>
        </w:rPr>
        <w:t>Дев'ять. Пріоритет офіційних комунікацій</w:t>
      </w:r>
    </w:p>
    <w:p>
      <w:pPr>
        <w:keepLines w:val="0"/>
      </w:pPr>
      <w:r>
        <w:rPr>
          <w:rFonts w:ascii="Noto Sans" w:hAnsi="Noto Sans" w:eastAsia="Arial Unicode MS" w:cs="Noto Sans"/>
          <w:b w:val="0"/>
        </w:rPr>
        <w:t>У разі виникнення розбіжностей між інформацією, поширеною через різні соціальні платформи, переказами гравців, скріншотами групових чатів або вебсайтами третіх осіб, пріоритет мають офіційні оголошення на dawnbloom.net, відповідні правові документи та офіційні повідомлення в грі. Індивідуальні заяви гравців, стримерів, адміністраторів груп, волонтерів, партнерів або членів спільноти не є офіційним представленням позиції DAWNBLOOM(DAWNBLOOM).</w:t>
      </w:r>
    </w:p>
    <w:p>
      <w:pPr>
        <w:pStyle w:val="Heading1"/>
        <w:keepLines w:val="0"/>
      </w:pPr>
      <w:r>
        <w:rPr>
          <w:rFonts w:ascii="Noto Sans" w:hAnsi="Noto Sans" w:eastAsia="Arial Unicode MS" w:cs="Noto Sans"/>
          <w:b w:val="0"/>
        </w:rPr>
        <w:t>Десять. Картка швидкої ідентифікації шахрайства</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Якщо особа каже наступне:</w:t>
            </w:r>
          </w:p>
        </w:tc>
        <w:tc>
          <w:tcPr>
            <w:tcW w:type="dxa" w:w="4873"/>
            <w:vAlign w:val="center"/>
            <w:shd w:fill="DCE8F7"/>
          </w:tcPr>
          <w:p>
            <w:pPr>
              <w:keepNext/>
              <w:spacing w:after="40"/>
            </w:pPr>
            <w:r>
              <w:rPr>
                <w:rFonts w:ascii="Noto Sans" w:hAnsi="Noto Sans" w:eastAsia="Arial Unicode MS" w:cs="Noto Sans"/>
                <w:b/>
                <w:sz w:val="17"/>
              </w:rPr>
              <w:t>Ваша перша реакція має бути такою:</w:t>
            </w:r>
          </w:p>
        </w:tc>
      </w:tr>
      <w:tr>
        <w:trPr>
          <w:cantSplit/>
        </w:trPr>
        <w:tc>
          <w:tcPr>
            <w:tcW w:type="dxa" w:w="4873"/>
            <w:vAlign w:val="center"/>
          </w:tcPr>
          <w:p>
            <w:pPr>
              <w:spacing w:after="40"/>
            </w:pPr>
            <w:r>
              <w:rPr>
                <w:rFonts w:ascii="Noto Sans" w:hAnsi="Noto Sans" w:eastAsia="Arial Unicode MS" w:cs="Noto Sans"/>
                <w:sz w:val="17"/>
              </w:rPr>
              <w:t>"Аномалія облікового запису — надішліть мені код верифікації."</w:t>
            </w:r>
          </w:p>
        </w:tc>
        <w:tc>
          <w:tcPr>
            <w:tcW w:type="dxa" w:w="4873"/>
            <w:vAlign w:val="center"/>
          </w:tcPr>
          <w:p>
            <w:pPr>
              <w:spacing w:after="40"/>
            </w:pPr>
            <w:r>
              <w:rPr>
                <w:rFonts w:ascii="Noto Sans" w:hAnsi="Noto Sans" w:eastAsia="Arial Unicode MS" w:cs="Noto Sans"/>
                <w:sz w:val="17"/>
              </w:rPr>
              <w:t>Не надсилайте. Офіційні канали ніколи не запитуватимуть одноразовий код верифікації.</w:t>
            </w:r>
          </w:p>
        </w:tc>
      </w:tr>
      <w:tr>
        <w:trPr>
          <w:cantSplit/>
        </w:trPr>
        <w:tc>
          <w:tcPr>
            <w:tcW w:type="dxa" w:w="4873"/>
            <w:vAlign w:val="center"/>
          </w:tcPr>
          <w:p>
            <w:pPr>
              <w:spacing w:after="40"/>
            </w:pPr>
            <w:r>
              <w:rPr>
                <w:rFonts w:ascii="Noto Sans" w:hAnsi="Noto Sans" w:eastAsia="Arial Unicode MS" w:cs="Noto Sans"/>
                <w:sz w:val="17"/>
              </w:rPr>
              <w:t>"Спочатку переведіть кошти; після повернення ми разом повернемо гроші."</w:t>
            </w:r>
          </w:p>
        </w:tc>
        <w:tc>
          <w:tcPr>
            <w:tcW w:type="dxa" w:w="4873"/>
            <w:vAlign w:val="center"/>
          </w:tcPr>
          <w:p>
            <w:pPr>
              <w:spacing w:after="40"/>
            </w:pPr>
            <w:r>
              <w:rPr>
                <w:rFonts w:ascii="Noto Sans" w:hAnsi="Noto Sans" w:eastAsia="Arial Unicode MS" w:cs="Noto Sans"/>
                <w:sz w:val="17"/>
              </w:rPr>
              <w:t>Не оплачуйте. Офіційні повернення коштів ніколи не вимагатимуть від вас спочатку переводити кошти на особистий рахунок.</w:t>
            </w:r>
          </w:p>
        </w:tc>
      </w:tr>
      <w:tr>
        <w:trPr>
          <w:cantSplit/>
        </w:trPr>
        <w:tc>
          <w:tcPr>
            <w:tcW w:type="dxa" w:w="4873"/>
            <w:vAlign w:val="center"/>
          </w:tcPr>
          <w:p>
            <w:pPr>
              <w:spacing w:after="40"/>
            </w:pPr>
            <w:r>
              <w:rPr>
                <w:rFonts w:ascii="Noto Sans" w:hAnsi="Noto Sans" w:eastAsia="Arial Unicode MS" w:cs="Noto Sans"/>
                <w:sz w:val="17"/>
              </w:rPr>
              <w:t>"Переведіть своїх фантомних звірів або спорядження на безпечний обліковий запис для перевірки."</w:t>
            </w:r>
          </w:p>
        </w:tc>
        <w:tc>
          <w:tcPr>
            <w:tcW w:type="dxa" w:w="4873"/>
            <w:vAlign w:val="center"/>
          </w:tcPr>
          <w:p>
            <w:pPr>
              <w:spacing w:after="40"/>
            </w:pPr>
            <w:r>
              <w:rPr>
                <w:rFonts w:ascii="Noto Sans" w:hAnsi="Noto Sans" w:eastAsia="Arial Unicode MS" w:cs="Noto Sans"/>
                <w:sz w:val="17"/>
              </w:rPr>
              <w:t>Не переводьте. Офіційні канали ніколи не запитуватимуть верифікацію активів через облікові записи персонажів гравців.</w:t>
            </w:r>
          </w:p>
        </w:tc>
      </w:tr>
      <w:tr>
        <w:trPr>
          <w:cantSplit/>
        </w:trPr>
        <w:tc>
          <w:tcPr>
            <w:tcW w:type="dxa" w:w="4873"/>
            <w:vAlign w:val="center"/>
          </w:tcPr>
          <w:p>
            <w:pPr>
              <w:spacing w:after="40"/>
            </w:pPr>
            <w:r>
              <w:rPr>
                <w:rFonts w:ascii="Noto Sans" w:hAnsi="Noto Sans" w:eastAsia="Arial Unicode MS" w:cs="Noto Sans"/>
                <w:sz w:val="17"/>
              </w:rPr>
              <w:t>"Натисніть це посилання, щоб отримати свою винагороду."</w:t>
            </w:r>
          </w:p>
        </w:tc>
        <w:tc>
          <w:tcPr>
            <w:tcW w:type="dxa" w:w="4873"/>
            <w:vAlign w:val="center"/>
          </w:tcPr>
          <w:p>
            <w:pPr>
              <w:spacing w:after="40"/>
            </w:pPr>
            <w:r>
              <w:rPr>
                <w:rFonts w:ascii="Noto Sans" w:hAnsi="Noto Sans" w:eastAsia="Arial Unicode MS" w:cs="Noto Sans"/>
                <w:sz w:val="17"/>
              </w:rPr>
              <w:t>Спочатку переконайтеся, що посилання належить до dawnbloom.net або явно зазначено як офіційну точку входу на офіційному вебсайті.</w:t>
            </w:r>
          </w:p>
        </w:tc>
      </w:tr>
      <w:tr>
        <w:trPr>
          <w:cantSplit/>
        </w:trPr>
        <w:tc>
          <w:tcPr>
            <w:tcW w:type="dxa" w:w="4873"/>
            <w:vAlign w:val="center"/>
          </w:tcPr>
          <w:p>
            <w:pPr>
              <w:spacing w:after="40"/>
            </w:pPr>
            <w:r>
              <w:rPr>
                <w:rFonts w:ascii="Noto Sans" w:hAnsi="Noto Sans" w:eastAsia="Arial Unicode MS" w:cs="Noto Sans"/>
                <w:sz w:val="17"/>
              </w:rPr>
              <w:t>"Я GM; додайте мій приватний контакт для обробки."</w:t>
            </w:r>
          </w:p>
        </w:tc>
        <w:tc>
          <w:tcPr>
            <w:tcW w:type="dxa" w:w="4873"/>
            <w:vAlign w:val="center"/>
          </w:tcPr>
          <w:p>
            <w:pPr>
              <w:spacing w:after="40"/>
            </w:pPr>
            <w:r>
              <w:rPr>
                <w:rFonts w:ascii="Noto Sans" w:hAnsi="Noto Sans" w:eastAsia="Arial Unicode MS" w:cs="Noto Sans"/>
                <w:sz w:val="17"/>
              </w:rPr>
              <w:t>Завжди спочатку отримайте доступ до порталу служби підтримки на офіційному вебсайті та перевірте особу особи, яка стверджує, що є GM.</w:t>
            </w:r>
          </w:p>
        </w:tc>
      </w:tr>
      <w:tr>
        <w:trPr>
          <w:cantSplit/>
        </w:trPr>
        <w:tc>
          <w:tcPr>
            <w:tcW w:type="dxa" w:w="4873"/>
            <w:vAlign w:val="center"/>
          </w:tcPr>
          <w:p>
            <w:pPr>
              <w:spacing w:after="40"/>
            </w:pPr>
            <w:r>
              <w:rPr>
                <w:rFonts w:ascii="Noto Sans" w:hAnsi="Noto Sans" w:eastAsia="Arial Unicode MS" w:cs="Noto Sans"/>
                <w:sz w:val="17"/>
              </w:rPr>
              <w:t>"Ми назавжди покараємо вас, якщо не діємо негайно."</w:t>
            </w:r>
          </w:p>
        </w:tc>
        <w:tc>
          <w:tcPr>
            <w:tcW w:type="dxa" w:w="4873"/>
            <w:vAlign w:val="center"/>
          </w:tcPr>
          <w:p>
            <w:pPr>
              <w:spacing w:after="40"/>
            </w:pPr>
            <w:r>
              <w:rPr>
                <w:rFonts w:ascii="Noto Sans" w:hAnsi="Noto Sans" w:eastAsia="Arial Unicode MS" w:cs="Noto Sans"/>
                <w:sz w:val="17"/>
              </w:rPr>
              <w:t>Не піддавайтеся тиску. Немедленно припиніть будь-які дії та перевірте інформацію через офіційний вебсайт.</w:t>
            </w:r>
          </w:p>
        </w:tc>
      </w:tr>
    </w:tbl>
    <w:p>
      <w:pPr>
        <w:spacing w:after="40"/>
      </w:pPr>
    </w:p>
    <w:p>
      <w:pPr>
        <w:pStyle w:val="Heading1"/>
        <w:keepLines w:val="0"/>
      </w:pPr>
      <w:r>
        <w:rPr>
          <w:rFonts w:ascii="Noto Sans" w:hAnsi="Noto Sans" w:eastAsia="Arial Unicode MS" w:cs="Noto Sans"/>
          <w:b w:val="0"/>
        </w:rPr>
        <w:t>Будь ласка, пам'ятайте</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Справжні офіційні канали не бояться, якщо ви "спочатку перевірите це на офіційному вебсайті". Будь-хто, хто закликає вас обходити офіційний вебсайт, платформу або звичайні процеси оплати, має бути об'єктом обережності.</w:t>
              <w:br/>
              <w:br/>
              <w:t>Якщо ви сумніваєтесь у достовірності повідомлення, припиніть усі дії та перевірте його через support@dawnbloom.net або https://dawnbloom.net.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Офіційні Канали DAWNBLOOM та Повідомлення про Антишахрайство</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