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Юридична інформація та застереження DAWNBLOOM</w:t>
      </w:r>
    </w:p>
    <w:p>
      <w:pPr>
        <w:keepLines w:val="0"/>
      </w:pPr>
      <w:r>
        <w:rPr>
          <w:rFonts w:ascii="Noto Sans" w:hAnsi="Noto Sans" w:eastAsia="Arial Unicode MS" w:cs="Noto Sans"/>
          <w:b w:val="0"/>
        </w:rPr>
        <w:t>Офіційна версія</w:t>
      </w:r>
    </w:p>
    <w:p>
      <w:pPr>
        <w:keepLines w:val="0"/>
      </w:pPr>
      <w:r>
        <w:rPr>
          <w:rFonts w:ascii="Noto Sans" w:hAnsi="Noto Sans" w:eastAsia="Arial Unicode MS" w:cs="Noto Sans"/>
          <w:b w:val="0"/>
        </w:rPr>
        <w:t>Версія: V8</w:t>
      </w:r>
    </w:p>
    <w:p>
      <w:pPr>
        <w:keepLines w:val="0"/>
      </w:pPr>
      <w:r>
        <w:rPr>
          <w:rFonts w:ascii="Noto Sans" w:hAnsi="Noto Sans" w:eastAsia="Arial Unicode MS" w:cs="Noto Sans"/>
          <w:b w:val="0"/>
        </w:rPr>
        <w:t>Дата набрання чинності: 10 жовтня 2026 року</w:t>
      </w:r>
    </w:p>
    <w:p>
      <w:pPr>
        <w:keepLines w:val="0"/>
      </w:pPr>
      <w:r>
        <w:rPr>
          <w:rFonts w:ascii="Noto Sans" w:hAnsi="Noto Sans" w:eastAsia="Arial Unicode MS" w:cs="Noto Sans"/>
          <w:b w:val="0"/>
        </w:rPr>
        <w:t>Дата оновлення: 10 жовтня 2026 року</w:t>
      </w:r>
    </w:p>
    <w:p>
      <w:pPr>
        <w:keepLines w:val="0"/>
      </w:pPr>
      <w:r>
        <w:rPr>
          <w:rFonts w:ascii="Noto Sans" w:hAnsi="Noto Sans" w:eastAsia="Arial Unicode MS" w:cs="Noto Sans"/>
          <w:b w:val="0"/>
        </w:rPr>
        <w:t xml:space="preserve">Сайти, на які поширюється дія: </w:t>
      </w:r>
      <w:hyperlink r:id="rId11">
        <w:r>
          <w:rPr>
            <w:rFonts w:ascii="Noto Sans" w:hAnsi="Noto Sans" w:eastAsia="Arial Unicode MS"/>
            <w:b w:val="0"/>
          </w:rPr>
          <w:t xml:space="preserve">https://dawnbloom.net</w:t>
        </w:r>
      </w:hyperlink>
      <w:r>
        <w:rPr>
          <w:rFonts w:ascii="Noto Sans" w:hAnsi="Noto Sans" w:eastAsia="Arial Unicode MS" w:cs="Noto Sans"/>
          <w:b w:val="0"/>
        </w:rPr>
        <w:t xml:space="preserve"> та офіційні субдомени</w:t>
      </w:r>
    </w:p>
    <w:p>
      <w:pPr>
        <w:keepLines w:val="0"/>
      </w:pPr>
      <w:r>
        <w:rPr>
          <w:rFonts w:ascii="Noto Sans" w:hAnsi="Noto Sans" w:eastAsia="Arial Unicode MS" w:cs="Noto Sans"/>
          <w:b w:val="0"/>
        </w:rPr>
        <w:t>Бренди, на які поширюється дія: сім продуктів DAWNBLOOM</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Розташування файлу</w:t>
              <w:br/>
              <w:t>Цей документ слугує офіційним юридичним шлюзом на вебсайті: забезпечуючи публічний доступ до операційної одиниці та офіційних каналів, заяв про авторські права та торговельні марки, ідентифікаторів третіх сторін, процедур повідомлення про порушення, відкритого ліцензування для повторного публікування, декларацій програмного забезпечення з відкритим кодом, пояснень щодо послуг штучного інтелекту для гравців та інших юридичних застережень. Окремі спеціальні документи регулюють політики конфіденційності, поведінку гравців, використання вебсайту, безпеку облікового запису та питання продажу та повернення коштів.</w:t>
            </w:r>
          </w:p>
        </w:tc>
      </w:tr>
    </w:tbl>
    <w:p>
      <w:pPr>
        <w:spacing w:after="40"/>
      </w:pPr>
    </w:p>
    <w:p>
      <w:pPr>
        <w:pStyle w:val="Heading1"/>
        <w:keepLines w:val="0"/>
      </w:pPr>
      <w:r>
        <w:rPr>
          <w:rFonts w:ascii="Noto Sans" w:hAnsi="Noto Sans" w:eastAsia="Arial Unicode MS" w:cs="Noto Sans"/>
          <w:b w:val="0"/>
        </w:rPr>
        <w:t>1. Офіційна ідентичність, операційна одиниця та доступ до юридичних документів</w:t>
      </w:r>
    </w:p>
    <w:p>
      <w:pPr>
        <w:keepLines w:val="0"/>
      </w:pPr>
      <w:r>
        <w:rPr>
          <w:rFonts w:ascii="Noto Sans" w:hAnsi="Noto Sans" w:eastAsia="Arial Unicode MS" w:cs="Noto Sans"/>
          <w:b w:val="0"/>
        </w:rPr>
        <w:t>DAWNBLOOM керується компанією 上海追光智创文化传媒有限公司. Таблиця ідентифікує її єдиний глобальний вебсайт та регіональні мовні точки входу. Регіональні точки входу ведуть лише на головний сайт і не створюють окремого оператора, облікового запису, платіжної або завантажувальної служби чи бази даних. Оператор надав ідентифікацію реєстрації компанії для китайської точки входу. Японська точка входу була зареєстрована за допомогою; її зареєстрований власник та формальна авторизація ще потребують перевірки. Цей документ не претендує на право власності на японський домен. Суфікси домену не встановлюють хостинг у материковому Китаї чи реєстрацію ICP, а також японську корпорацію чи філію. Інші сайти, групи, магазини та соціальні акаунти є офіційними лише тоді, коли вони явно перелічені головним сайтом.</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Проєкт</w:t>
            </w:r>
          </w:p>
        </w:tc>
        <w:tc>
          <w:tcPr>
            <w:tcW w:type="dxa" w:w="4873"/>
            <w:vAlign w:val="center"/>
            <w:shd w:fill="DCE8F7"/>
          </w:tcPr>
          <w:p>
            <w:pPr>
              <w:keepNext/>
              <w:spacing w:after="40"/>
            </w:pPr>
            <w:r>
              <w:rPr>
                <w:rFonts w:ascii="Noto Sans" w:hAnsi="Noto Sans" w:eastAsia="Arial Unicode MS" w:cs="Noto Sans"/>
                <w:b/>
                <w:sz w:val="17"/>
              </w:rPr>
              <w:t>Офіційна інформація</w:t>
            </w:r>
          </w:p>
        </w:tc>
      </w:tr>
      <w:tr>
        <w:trPr>
          <w:cantSplit/>
        </w:trPr>
        <w:tc>
          <w:tcPr>
            <w:tcW w:type="dxa" w:w="4873"/>
            <w:vAlign w:val="center"/>
          </w:tcPr>
          <w:p>
            <w:pPr>
              <w:spacing w:after="40"/>
            </w:pPr>
            <w:r>
              <w:rPr>
                <w:rFonts w:ascii="Noto Sans" w:hAnsi="Noto Sans" w:eastAsia="Arial Unicode MS" w:cs="Noto Sans"/>
                <w:sz w:val="17"/>
              </w:rPr>
              <w:t>Оператор / постачальник послуг вебсайту</w:t>
            </w:r>
          </w:p>
        </w:tc>
        <w:tc>
          <w:tcPr>
            <w:tcW w:type="dxa" w:w="4873"/>
            <w:vAlign w:val="center"/>
          </w:tcPr>
          <w:p>
            <w:pPr>
              <w:spacing w:after="40"/>
            </w:pPr>
            <w:r>
              <w:rPr>
                <w:rFonts w:ascii="Noto Sans" w:hAnsi="Noto Sans" w:eastAsia="Arial Unicode MS" w:cs="Noto Sans"/>
                <w:sz w:val="17"/>
              </w:rPr>
              <w:t>上海追光智创文化传媒有限公司 (Англійська назва для публіки: SHANGHAI LUMIREALM CREATIVE MEDIA CO., LTD.)</w:t>
            </w:r>
          </w:p>
        </w:tc>
      </w:tr>
      <w:tr>
        <w:trPr>
          <w:cantSplit/>
        </w:trPr>
        <w:tc>
          <w:tcPr>
            <w:tcW w:type="dxa" w:w="4873"/>
            <w:vAlign w:val="center"/>
          </w:tcPr>
          <w:p>
            <w:pPr>
              <w:spacing w:after="40"/>
            </w:pPr>
            <w:r>
              <w:rPr>
                <w:rFonts w:ascii="Noto Sans" w:hAnsi="Noto Sans" w:eastAsia="Arial Unicode MS" w:cs="Noto Sans"/>
                <w:sz w:val="17"/>
              </w:rPr>
              <w:t>Єдиний глобальний вебсайт</w:t>
            </w:r>
          </w:p>
        </w:tc>
        <w:tc>
          <w:tcPr>
            <w:tcW w:type="dxa" w:w="4873"/>
            <w:vAlign w:val="center"/>
          </w:tcPr>
          <w:p>
            <w:pPr>
              <w:spacing w:after="40"/>
            </w:pPr>
            <w:hyperlink r:id="rId11">
              <w:r>
                <w:rPr>
                  <w:rFonts w:ascii="Noto Sans" w:hAnsi="Noto Sans" w:eastAsia="Arial Unicode MS"/>
                  <w:sz w:val="17"/>
                </w:rPr>
                <w:t xml:space="preserve">https://dawnbloom.net</w:t>
              </w:r>
            </w:hyperlink>
          </w:p>
        </w:tc>
      </w:tr>
      <w:tr>
        <w:trPr>
          <w:cantSplit/>
        </w:trPr>
        <w:tc>
          <w:tcPr>
            <w:tcW w:type="dxa" w:w="4873"/>
            <w:vAlign w:val="center"/>
          </w:tcPr>
          <w:p>
            <w:pPr>
              <w:spacing w:after="40"/>
            </w:pPr>
            <w:r>
              <w:rPr>
                <w:rFonts w:ascii="Noto Sans" w:hAnsi="Noto Sans" w:eastAsia="Arial Unicode MS" w:cs="Noto Sans"/>
                <w:sz w:val="17"/>
              </w:rPr>
              <w:t>Китайська мовна точка входу</w:t>
            </w:r>
          </w:p>
        </w:tc>
        <w:tc>
          <w:tcPr>
            <w:tcW w:type="dxa" w:w="4873"/>
            <w:vAlign w:val="center"/>
          </w:tcPr>
          <w:p>
            <w:pPr>
              <w:spacing w:after="40"/>
            </w:pPr>
            <w:hyperlink r:id="rId12">
              <w:r>
                <w:rPr>
                  <w:rFonts w:ascii="Noto Sans" w:hAnsi="Noto Sans" w:eastAsia="Arial Unicode MS"/>
                  <w:sz w:val="17"/>
                </w:rPr>
                <w:t xml:space="preserve">https://dawnbloom.com.cn</w:t>
              </w:r>
            </w:hyperlink>
            <w:r>
              <w:rPr>
                <w:rFonts w:ascii="Noto Sans" w:hAnsi="Noto Sans" w:eastAsia="Arial Unicode MS" w:cs="Noto Sans"/>
                <w:sz w:val="17"/>
              </w:rPr>
              <w:t xml:space="preserve"> · www.dawnbloom.com.cn → </w:t>
            </w:r>
            <w:hyperlink r:id="rId13">
              <w:r>
                <w:rPr>
                  <w:rFonts w:ascii="Noto Sans" w:hAnsi="Noto Sans" w:eastAsia="Arial Unicode MS"/>
                  <w:sz w:val="17"/>
                </w:rPr>
                <w:t xml:space="preserve">https://dawnbloom.net/zh/</w:t>
              </w:r>
            </w:hyperlink>
          </w:p>
        </w:tc>
      </w:tr>
      <w:tr>
        <w:trPr>
          <w:cantSplit/>
        </w:trPr>
        <w:tc>
          <w:tcPr>
            <w:tcW w:type="dxa" w:w="4873"/>
            <w:vAlign w:val="center"/>
          </w:tcPr>
          <w:p>
            <w:pPr>
              <w:spacing w:after="40"/>
            </w:pPr>
            <w:r>
              <w:rPr>
                <w:rFonts w:ascii="Noto Sans" w:hAnsi="Noto Sans" w:eastAsia="Arial Unicode MS" w:cs="Noto Sans"/>
                <w:sz w:val="17"/>
              </w:rPr>
              <w:t>Японська мовна точка входу</w:t>
            </w:r>
          </w:p>
        </w:tc>
        <w:tc>
          <w:tcPr>
            <w:tcW w:type="dxa" w:w="4873"/>
            <w:vAlign w:val="center"/>
          </w:tcPr>
          <w:p>
            <w:pPr>
              <w:spacing w:after="40"/>
            </w:pPr>
            <w:hyperlink r:id="rId14">
              <w:r>
                <w:rPr>
                  <w:rFonts w:ascii="Noto Sans" w:hAnsi="Noto Sans" w:eastAsia="Arial Unicode MS"/>
                  <w:sz w:val="17"/>
                </w:rPr>
                <w:t xml:space="preserve">https://dawnbloom.jp</w:t>
              </w:r>
            </w:hyperlink>
            <w:r>
              <w:rPr>
                <w:rFonts w:ascii="Noto Sans" w:hAnsi="Noto Sans" w:eastAsia="Arial Unicode MS" w:cs="Noto Sans"/>
                <w:sz w:val="17"/>
              </w:rPr>
              <w:t xml:space="preserve"> · www.dawnbloom.jp → </w:t>
            </w:r>
            <w:hyperlink r:id="rId15">
              <w:r>
                <w:rPr>
                  <w:rFonts w:ascii="Noto Sans" w:hAnsi="Noto Sans" w:eastAsia="Arial Unicode MS"/>
                  <w:sz w:val="17"/>
                </w:rPr>
                <w:t xml:space="preserve">https://dawnbloom.net/ja/</w:t>
              </w:r>
            </w:hyperlink>
            <w:r>
              <w:rPr>
                <w:rFonts w:ascii="Noto Sans" w:hAnsi="Noto Sans" w:eastAsia="Arial Unicode MS" w:cs="Noto Sans"/>
                <w:sz w:val="17"/>
              </w:rPr>
              <w:t xml:space="preserve"> (доступний; HTTPS 301)</w:t>
            </w:r>
          </w:p>
        </w:tc>
      </w:tr>
      <w:tr>
        <w:trPr>
          <w:cantSplit/>
        </w:trPr>
        <w:tc>
          <w:tcPr>
            <w:tcW w:type="dxa" w:w="4873"/>
            <w:vAlign w:val="center"/>
          </w:tcPr>
          <w:p>
            <w:pPr>
              <w:spacing w:after="40"/>
            </w:pPr>
            <w:r>
              <w:rPr>
                <w:rFonts w:ascii="Noto Sans" w:hAnsi="Noto Sans" w:eastAsia="Arial Unicode MS" w:cs="Noto Sans"/>
                <w:sz w:val="17"/>
              </w:rPr>
              <w:t>Офіційна корейська мовна точка входу</w:t>
            </w:r>
          </w:p>
        </w:tc>
        <w:tc>
          <w:tcPr>
            <w:tcW w:type="dxa" w:w="4873"/>
            <w:vAlign w:val="center"/>
          </w:tcPr>
          <w:p>
            <w:pPr>
              <w:spacing w:after="40"/>
            </w:pPr>
            <w:r>
              <w:rPr>
                <w:rFonts w:ascii="Noto Sans" w:hAnsi="Noto Sans" w:eastAsia="Arial Unicode MS" w:cs="Noto Sans"/>
                <w:sz w:val="17"/>
              </w:rPr>
              <w:t xml:space="preserve">Офіційні корейські мовні портали dawnbloom.kr та www.dawnbloom.kr використовують перенаправлення HTTPS 301 на </w:t>
            </w:r>
            <w:hyperlink r:id="rId16">
              <w:r>
                <w:rPr>
                  <w:rFonts w:ascii="Noto Sans" w:hAnsi="Noto Sans" w:eastAsia="Arial Unicode MS"/>
                  <w:sz w:val="17"/>
                </w:rPr>
                <w:t xml:space="preserve">https://dawnbloom.net/kr/.</w:t>
              </w:r>
            </w:hyperlink>
            <w:r>
              <w:rPr>
                <w:rFonts w:ascii="Noto Sans" w:hAnsi="Noto Sans" w:eastAsia="Arial Unicode MS" w:cs="Noto Sans"/>
                <w:sz w:val="17"/>
              </w:rPr>
              <w:t xml:space="preserve"> Зміни в DNS можуть потребувати часу для поширення. Вони використовують уніфікований вебсайт і не створюють окремого вебсайту, облікового запису, бази даних чи корейського ігрового сервера.</w:t>
            </w:r>
          </w:p>
        </w:tc>
      </w:tr>
      <w:tr>
        <w:trPr>
          <w:cantSplit/>
        </w:trPr>
        <w:tc>
          <w:tcPr>
            <w:tcW w:type="dxa" w:w="4873"/>
            <w:vAlign w:val="center"/>
          </w:tcPr>
          <w:p>
            <w:pPr>
              <w:spacing w:after="40"/>
            </w:pPr>
            <w:r>
              <w:rPr>
                <w:rFonts w:ascii="Noto Sans" w:hAnsi="Noto Sans" w:eastAsia="Arial Unicode MS" w:cs="Noto Sans"/>
                <w:sz w:val="17"/>
              </w:rPr>
              <w:t>Загальний клієнтський сервіс</w:t>
            </w:r>
          </w:p>
        </w:tc>
        <w:tc>
          <w:tcPr>
            <w:tcW w:type="dxa" w:w="4873"/>
            <w:vAlign w:val="center"/>
          </w:tcPr>
          <w:p>
            <w:pPr>
              <w:spacing w:after="40"/>
            </w:pPr>
            <w:hyperlink r:id="rId17">
              <w:r>
                <w:rPr>
                  <w:rFonts w:ascii="Noto Sans" w:hAnsi="Noto Sans" w:eastAsia="Arial Unicode MS"/>
                  <w:sz w:val="17"/>
                </w:rPr>
                <w:t xml:space="preserve">support@dawnbloom.net</w:t>
              </w:r>
            </w:hyperlink>
          </w:p>
        </w:tc>
      </w:tr>
      <w:tr>
        <w:trPr>
          <w:cantSplit/>
        </w:trPr>
        <w:tc>
          <w:tcPr>
            <w:tcW w:type="dxa" w:w="4873"/>
            <w:vAlign w:val="center"/>
          </w:tcPr>
          <w:p>
            <w:pPr>
              <w:spacing w:after="40"/>
            </w:pPr>
            <w:r>
              <w:rPr>
                <w:rFonts w:ascii="Noto Sans" w:hAnsi="Noto Sans" w:eastAsia="Arial Unicode MS" w:cs="Noto Sans"/>
                <w:sz w:val="17"/>
              </w:rPr>
              <w:t>Юридичний контакт/авторські права</w:t>
            </w:r>
          </w:p>
        </w:tc>
        <w:tc>
          <w:tcPr>
            <w:tcW w:type="dxa" w:w="4873"/>
            <w:vAlign w:val="center"/>
          </w:tcPr>
          <w:p>
            <w:pPr>
              <w:spacing w:after="40"/>
            </w:pPr>
            <w:hyperlink r:id="rId18">
              <w:r>
                <w:rPr>
                  <w:rFonts w:ascii="Noto Sans" w:hAnsi="Noto Sans" w:eastAsia="Arial Unicode MS"/>
                  <w:sz w:val="17"/>
                </w:rPr>
                <w:t xml:space="preserve">legal@dawnbloom.net</w:t>
              </w:r>
            </w:hyperlink>
          </w:p>
        </w:tc>
      </w:tr>
      <w:tr>
        <w:trPr>
          <w:cantSplit/>
        </w:trPr>
        <w:tc>
          <w:tcPr>
            <w:tcW w:type="dxa" w:w="4873"/>
            <w:vAlign w:val="center"/>
          </w:tcPr>
          <w:p>
            <w:pPr>
              <w:spacing w:after="40"/>
            </w:pPr>
            <w:r>
              <w:rPr>
                <w:rFonts w:ascii="Noto Sans" w:hAnsi="Noto Sans" w:eastAsia="Arial Unicode MS" w:cs="Noto Sans"/>
                <w:sz w:val="17"/>
              </w:rPr>
              <w:t>Звітність про вразливості безпеки</w:t>
            </w:r>
          </w:p>
        </w:tc>
        <w:tc>
          <w:tcPr>
            <w:tcW w:type="dxa" w:w="4873"/>
            <w:vAlign w:val="center"/>
          </w:tcPr>
          <w:p>
            <w:pPr>
              <w:spacing w:after="40"/>
            </w:pPr>
            <w:hyperlink r:id="rId19">
              <w:r>
                <w:rPr>
                  <w:rFonts w:ascii="Noto Sans" w:hAnsi="Noto Sans" w:eastAsia="Arial Unicode MS"/>
                  <w:sz w:val="17"/>
                </w:rPr>
                <w:t xml:space="preserve">security@dawnbloom.net</w:t>
              </w:r>
            </w:hyperlink>
          </w:p>
        </w:tc>
      </w:tr>
      <w:tr>
        <w:trPr>
          <w:cantSplit/>
        </w:trPr>
        <w:tc>
          <w:tcPr>
            <w:tcW w:type="dxa" w:w="4873"/>
            <w:vAlign w:val="center"/>
          </w:tcPr>
          <w:p>
            <w:pPr>
              <w:spacing w:after="40"/>
            </w:pPr>
            <w:r>
              <w:rPr>
                <w:rFonts w:ascii="Noto Sans" w:hAnsi="Noto Sans" w:eastAsia="Arial Unicode MS" w:cs="Noto Sans"/>
                <w:sz w:val="17"/>
              </w:rPr>
              <w:t>Операційна адреса / юридична адреса контакту</w:t>
            </w:r>
          </w:p>
        </w:tc>
        <w:tc>
          <w:tcPr>
            <w:tcW w:type="dxa" w:w="4873"/>
            <w:vAlign w:val="center"/>
          </w:tcPr>
          <w:p>
            <w:pPr>
              <w:spacing w:after="40"/>
            </w:pPr>
            <w:r>
              <w:rPr>
                <w:rFonts w:ascii="Noto Sans" w:hAnsi="Noto Sans" w:eastAsia="Arial Unicode MS" w:cs="Noto Sans"/>
                <w:sz w:val="17"/>
              </w:rPr>
              <w:t>Кімната 218, Будівля 3, № 336 вулиця Тяньцзяо, Спеціальна зона Лінган, Пілотна зона вільної торгівлі Китаю (Шанхай), Китай</w:t>
            </w:r>
          </w:p>
        </w:tc>
      </w:tr>
    </w:tbl>
    <w:p>
      <w:pPr>
        <w:spacing w:after="40"/>
      </w:pPr>
    </w:p>
    <w:p>
      <w:pPr>
        <w:keepLines w:val="0"/>
      </w:pPr>
      <w:r>
        <w:rPr>
          <w:rFonts w:ascii="Noto Sans" w:hAnsi="Noto Sans" w:eastAsia="Arial Unicode MS" w:cs="Noto Sans"/>
          <w:b w:val="0"/>
        </w:rPr>
        <w:t>Юридичний індекс офіційного сайту централізовано містить єдину «Політику конфіденційності DAWNBLOOM V8» (що охоплює гру, шість застосунків, офіційний сайт, облікові записи, спільноту та підтримку), «Умови використання продуктів і послуг DAWNBLOOM», «Умови надання послуг DAWNBLOOM Browser», «Правила для гравців і правила застосування санкцій за порушення», «Умови продажу та повернення коштів», «Політику щодо Cookie та подібних технологій», «Настанови щодо похідної творчості та фанатського контенту», «Оголошення про офіційні канали та протидію шахрайству» і цей документ. Конкретна сфера застосування, версії та пояснення для окремих продуктів визначаються відповідними офіційними сторінками; спеціальні умови браузера не поширюють правила гри на звичайний перегляд вебсторінок.</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Нагадування про шахрайство: Офіційний DAWNBLOOM, Дух Світанку та його персонал ніколи не запитуватимуть ваш пароль облікового запису, пароль платежу, повні дані банківської картки або повний одноразовий код верифікації через приватні повідомлення. Якщо ви зустрнете особу, яка стверджує, що є "GM", "службою підтримки" або "офіційним представником", і просить вас перевести гроші приватно, встановити неперевірене програмне забезпечення, поділитися екраном або надати паролі або повні коди верифікації, негайно припиніть усі дії та перевірте запит через офіційний вебсайт або офіційні канали служби підтримки.</w:t>
            </w:r>
          </w:p>
        </w:tc>
      </w:tr>
    </w:tbl>
    <w:p>
      <w:pPr>
        <w:spacing w:after="40"/>
      </w:pPr>
    </w:p>
    <w:p>
      <w:pPr>
        <w:pStyle w:val="Heading1"/>
        <w:keepLines w:val="0"/>
      </w:pPr>
      <w:r>
        <w:rPr>
          <w:rFonts w:ascii="Noto Sans" w:hAnsi="Noto Sans" w:eastAsia="Arial Unicode MS" w:cs="Noto Sans"/>
          <w:b w:val="0"/>
        </w:rPr>
        <w:t>2. Інтелектуальна власність та брендова ідентичність DAWNBLOOM</w:t>
      </w:r>
    </w:p>
    <w:p>
      <w:pPr>
        <w:keepLines w:val="0"/>
      </w:pPr>
      <w:r>
        <w:rPr>
          <w:rFonts w:ascii="Noto Sans" w:hAnsi="Noto Sans" w:eastAsia="Arial Unicode MS" w:cs="Noto Sans"/>
          <w:b w:val="0"/>
        </w:rPr>
        <w:t>За винятком іншого явно позначеного або належного третій стороні, контент DAWNBLOOM та його офіційного вебсайту, клієнтського додатка та рекламних каналів – включаючи назви ігор, логотипи, персонажів, Фантомних Звірів, карти, світогляди, сюжетні лінії, текстовий супровід, художні твори, інтерфейси, іконки, анімацію, музику, звукові ефекти, відео, візуальний дизайн вебсайту, код програмного забезпечення, структуру бази даних та інші оригінальні та творчі елементи – захищений авторським правом, законодавством про торговельні марки, Законом про боротьбу з недобросовісною конкуренцією та іншими чинними законами.</w:t>
      </w:r>
    </w:p>
    <w:p>
      <w:pPr>
        <w:keepLines w:val="0"/>
      </w:pPr>
      <w:r>
        <w:rPr>
          <w:rFonts w:ascii="Noto Sans" w:hAnsi="Noto Sans" w:eastAsia="Arial Unicode MS" w:cs="Noto Sans"/>
          <w:b w:val="0"/>
        </w:rPr>
        <w:t>Матеріали, що належать DAWNBLOOM, також включають назви, піктограми, інтерфейси, клієнтські дизайни, сторінки продуктів, опубліковані скріншоти та код шести додатків. Новинні звіти, вебсайти, відвідані у Браузері, пошта користувачів та вміст постачальника пошти не стають власністю DAWNBLOOM лише тому, що додаток їх відображає.</w:t>
      </w:r>
    </w:p>
    <w:p>
      <w:pPr>
        <w:keepLines w:val="0"/>
      </w:pPr>
      <w:r>
        <w:rPr>
          <w:rFonts w:ascii="Noto Sans" w:hAnsi="Noto Sans" w:eastAsia="Arial Unicode MS" w:cs="Noto Sans"/>
          <w:b w:val="0"/>
        </w:rPr>
        <w:t>"DAWNBLOOM" "DAWNBLOOM" та відповідні графічні знаки слугують офіційними ідентифікаторами бренду проекту. Заявки на реєстрацію торговельних марок, реєстрації та сфера захисту підлягають остаточному затвердженню та визначеним товарам і послугам, визначеним національними органами адміністрування інтелектуальної власності. Символ зареєстрованої торгової марки (®) та подібні позначення мають використовуватися виключно тоді, коли торгова марка була юридично затверджена та зареєстрована, і використовується в межах офіційно визначеного діапазону; жоден знак, який зараз перебуває в процесі подачі заявки, розгляду або очікування остаточного затвердження, не повинен просуватися таким чином, щоб це могло ввести громадськість в оману щодо отримання ними виключних прав на торговельну марку.</w:t>
      </w:r>
    </w:p>
    <w:p>
      <w:pPr>
        <w:keepLines w:val="0"/>
      </w:pPr>
      <w:r>
        <w:rPr>
          <w:rFonts w:ascii="Noto Sans" w:hAnsi="Noto Sans" w:eastAsia="Arial Unicode MS" w:cs="Noto Sans"/>
          <w:b w:val="0"/>
        </w:rPr>
        <w:t>Висловлювання про права в цьому документі не розширюють виключні права, надані законом, і не обмежують законне, розумне використання, таке як цитування, коментарі, новинні звіти або інше використання, яке не потребує окремого дозволу.</w:t>
      </w:r>
    </w:p>
    <w:p>
      <w:pPr>
        <w:pStyle w:val="Heading1"/>
        <w:keepLines w:val="0"/>
      </w:pPr>
      <w:r>
        <w:rPr>
          <w:rFonts w:ascii="Noto Sans" w:hAnsi="Noto Sans" w:eastAsia="Arial Unicode MS" w:cs="Noto Sans"/>
          <w:b w:val="0"/>
        </w:rPr>
        <w:t>3. Вільна ліцензія на перерозповсюдження офіційно публічного контенту</w:t>
      </w:r>
    </w:p>
    <w:p>
      <w:pPr>
        <w:keepLines w:val="0"/>
      </w:pPr>
      <w:r>
        <w:rPr>
          <w:rFonts w:ascii="Noto Sans" w:hAnsi="Noto Sans" w:eastAsia="Arial Unicode MS" w:cs="Noto Sans"/>
          <w:b w:val="0"/>
        </w:rPr>
        <w:t>DAWNBLOOM запрошує гравців, ЗМІ, стримерів, спільноти та творців контенту поширювати загальнодоступну інформацію про гру. Для контенту, офіційно опублікованого через офіційний вебсайт, офіційні платформи спільноти або офіційні акаунти в соціальних мережах, і який не вказує інших обмежень на використання, оператор надає тут невиключну, безоплатну, глобальну ліцензію на повторне публікування та поширення без необхідності попередньої згоди:</w:t>
      </w:r>
    </w:p>
    <w:p>
      <w:pPr>
        <w:pStyle w:val="ListBullet"/>
        <w:keepLines w:val="0"/>
      </w:pPr>
      <w:r>
        <w:rPr>
          <w:rFonts w:ascii="Noto Sans" w:hAnsi="Noto Sans" w:eastAsia="Arial Unicode MS" w:cs="Noto Sans"/>
          <w:b w:val="0"/>
        </w:rPr>
        <w:t>Офіційні новини, оголошення, примітки оновлень версій та інформація про публічні заходи;</w:t>
      </w:r>
    </w:p>
    <w:p>
      <w:pPr>
        <w:pStyle w:val="ListBullet"/>
        <w:keepLines w:val="0"/>
      </w:pPr>
      <w:r>
        <w:rPr>
          <w:rFonts w:ascii="Noto Sans" w:hAnsi="Noto Sans" w:eastAsia="Arial Unicode MS" w:cs="Noto Sans"/>
          <w:b w:val="0"/>
        </w:rPr>
        <w:t>Офіційні публічні посібники, часто задавані питання (FAQ) та пояснення правил, видимі для гравців;</w:t>
      </w:r>
    </w:p>
    <w:p>
      <w:pPr>
        <w:pStyle w:val="ListBullet"/>
        <w:keepLines w:val="0"/>
      </w:pPr>
      <w:r>
        <w:rPr>
          <w:rFonts w:ascii="Noto Sans" w:hAnsi="Noto Sans" w:eastAsia="Arial Unicode MS" w:cs="Noto Sans"/>
          <w:b w:val="0"/>
        </w:rPr>
        <w:t>Офіційні промо-скріншоти, плакати, банери та матеріали в соціальних мережах, що використовуються для широкого поширення;</w:t>
      </w:r>
    </w:p>
    <w:p>
      <w:pPr>
        <w:pStyle w:val="ListBullet"/>
        <w:keepLines w:val="0"/>
      </w:pPr>
      <w:r>
        <w:rPr>
          <w:rFonts w:ascii="Noto Sans" w:hAnsi="Noto Sans" w:eastAsia="Arial Unicode MS" w:cs="Noto Sans"/>
          <w:b w:val="0"/>
        </w:rPr>
        <w:t>Інші матеріали, явно позначені оператором як такі, що підлягають публічному поширенню.</w:t>
      </w:r>
    </w:p>
    <w:p>
      <w:pPr>
        <w:keepLines w:val="0"/>
      </w:pPr>
      <w:r>
        <w:rPr>
          <w:rFonts w:ascii="Noto Sans" w:hAnsi="Noto Sans" w:eastAsia="Arial Unicode MS" w:cs="Noto Sans"/>
          <w:b w:val="0"/>
        </w:rPr>
        <w:t>Для адаптації до статей, відео, прямих трансляцій, соціальних мереж або інших форматів можуть бути виконані необхідне масштабування, обрізка, стиснення, субтитрування або конвертація формату; проте не слід спотворювати первинний задум офіційного контенту, підробляти офіційні заяви, спричиняти плутанину щодо джерела або видавати себе за офіційну особистість. Також заборонено вводити громадськість в оману щодо переконання, що будь-який пов'язаний контент, продукти чи послуги отримали офіційну авторизацію, сертифікацію або підтримку від DAWNBLOOM.</w:t>
      </w:r>
    </w:p>
    <w:p>
      <w:pPr>
        <w:pStyle w:val="Heading1"/>
        <w:keepLines w:val="0"/>
      </w:pPr>
      <w:r>
        <w:rPr>
          <w:rFonts w:ascii="Noto Sans" w:hAnsi="Noto Sans" w:eastAsia="Arial Unicode MS" w:cs="Noto Sans"/>
          <w:b w:val="0"/>
        </w:rPr>
        <w:t>3.1 Ця вільна ліцензія на перерозповсюдження НЕ поширюється на наступне:</w:t>
      </w:r>
    </w:p>
    <w:p>
      <w:pPr>
        <w:pStyle w:val="ListBullet"/>
        <w:keepLines w:val="0"/>
      </w:pPr>
      <w:r>
        <w:rPr>
          <w:rFonts w:ascii="Noto Sans" w:hAnsi="Noto Sans" w:eastAsia="Arial Unicode MS" w:cs="Noto Sans"/>
          <w:b w:val="0"/>
        </w:rPr>
        <w:t>Видавати себе за DAWNBLOOM, створювати фіктивний офіційний вебсайт, офіційну службу підтримки, офіційну подію, офіційне оголошення або офіційні відносини авторизації;</w:t>
      </w:r>
    </w:p>
    <w:p>
      <w:pPr>
        <w:pStyle w:val="ListBullet"/>
        <w:keepLines w:val="0"/>
      </w:pPr>
      <w:r>
        <w:rPr>
          <w:rFonts w:ascii="Noto Sans" w:hAnsi="Noto Sans" w:eastAsia="Arial Unicode MS" w:cs="Noto Sans"/>
          <w:b w:val="0"/>
        </w:rPr>
        <w:t>Будь-яке використання назви DAWNBLOOM, логотипу, персонажів, художніх робіт або інших матеріалів для створення, просування або управління несанкціонованими приватними серверами, піратським клієнтським програмним забезпеченням, підробленими іграми, шахрайськими сторінками або комерційними послугами, які можуть ввести користувачів в оману щодо їх приналежності до офіційної гри, суворо заборонено;</w:t>
      </w:r>
    </w:p>
    <w:p>
      <w:pPr>
        <w:pStyle w:val="ListBullet"/>
        <w:keepLines w:val="0"/>
      </w:pPr>
      <w:r>
        <w:rPr>
          <w:rFonts w:ascii="Noto Sans" w:hAnsi="Noto Sans" w:eastAsia="Arial Unicode MS" w:cs="Noto Sans"/>
          <w:b w:val="0"/>
        </w:rPr>
        <w:t>Вилучення, перепакування, продаж або поширення оригінальних файлів графіки, вихідного коду, файлів музики/звукових ефектів, файлів шрифтів, неопублікованих матеріалів, внутрішніх планових документів, даних бекенду, неопублікованих таблиць ймовірностей, внутрішніх формул, множників або інших неоприлюднених активів;</w:t>
      </w:r>
    </w:p>
    <w:p>
      <w:pPr>
        <w:pStyle w:val="ListBullet"/>
        <w:keepLines w:val="0"/>
      </w:pPr>
      <w:r>
        <w:rPr>
          <w:rFonts w:ascii="Noto Sans" w:hAnsi="Noto Sans" w:eastAsia="Arial Unicode MS" w:cs="Noto Sans"/>
          <w:b w:val="0"/>
        </w:rPr>
        <w:t>Змінення офіційних установчих пакетів, патчів або виконуваных файлів та їх повторне поширення під назвою офіційної версії;</w:t>
      </w:r>
    </w:p>
    <w:p>
      <w:pPr>
        <w:pStyle w:val="ListBullet"/>
        <w:keepLines w:val="0"/>
      </w:pPr>
      <w:r>
        <w:rPr>
          <w:rFonts w:ascii="Noto Sans" w:hAnsi="Noto Sans" w:eastAsia="Arial Unicode MS" w:cs="Noto Sans"/>
          <w:b w:val="0"/>
        </w:rPr>
        <w:t>Використання офіційних матеріалів для шахрайства, зловмисного перенаправлення трафіку, незаконних транзакцій, порушення прав на товари або будь-якого іншого використання, яке явно шкодить безпеці гравців або законним інтересам проєкту.</w:t>
      </w:r>
    </w:p>
    <w:p>
      <w:pPr>
        <w:keepLines w:val="0"/>
      </w:pPr>
      <w:r>
        <w:rPr>
          <w:rFonts w:ascii="Noto Sans" w:hAnsi="Noto Sans" w:eastAsia="Arial Unicode MS" w:cs="Noto Sans"/>
          <w:b w:val="0"/>
        </w:rPr>
        <w:t>Звичайні прямі трансляції, записані трансляції, відео-інструкції, коментарі, обговорення фанфіків та поширення контенту в спільноті гравцями не підлягають додатковим обмеженням згідно з цією ліцензією; коли такі дії стосуються музики, шрифтів, логотипів платформ чи інших матеріалів третіх осіб, таке використання також має відповідати правилам відповідних власників прав.</w:t>
      </w:r>
    </w:p>
    <w:p>
      <w:pPr>
        <w:pStyle w:val="Heading1"/>
        <w:keepLines w:val="0"/>
      </w:pPr>
      <w:r>
        <w:rPr>
          <w:rFonts w:ascii="Noto Sans" w:hAnsi="Noto Sans" w:eastAsia="Arial Unicode MS" w:cs="Noto Sans"/>
          <w:b w:val="0"/>
        </w:rPr>
        <w:t>4. Контент, створений гравцями, DAWNBLOOM Community та скарги щодо авторських прав</w:t>
      </w:r>
    </w:p>
    <w:p>
      <w:pPr>
        <w:keepLines w:val="0"/>
      </w:pPr>
      <w:r>
        <w:rPr>
          <w:rFonts w:ascii="Noto Sans" w:hAnsi="Noto Sans" w:eastAsia="Arial Unicode MS" w:cs="Noto Sans"/>
          <w:b w:val="0"/>
        </w:rPr>
        <w:t>"DAWNBLOOM Community" — це офіційна назва ігрової спільноти для "DAWNBLOOM"; ця назва служитиме офіційною маркою спільноти й залишатиметься чинною незалежно від будь-яких змін у назві бренду гри. DAWNBLOOM Community дозволяє гравцям завантажувати зображення, посібники, пости, коментарі та інший контент відповідно до правил спільноти. Гравці зберігають, як правило, права, які вони мають законно щодо свого оригінального контенту; конкретні положення щодо ліцензування та використання доступні в «Умовах використання Офіційного Вебсайту та DAWNBLOOM Community».</w:t>
      </w:r>
    </w:p>
    <w:p>
      <w:pPr>
        <w:keepLines w:val="0"/>
      </w:pPr>
      <w:r>
        <w:rPr>
          <w:rFonts w:ascii="Noto Sans" w:hAnsi="Noto Sans" w:eastAsia="Arial Unicode MS" w:cs="Noto Sans"/>
          <w:b w:val="0"/>
        </w:rPr>
        <w:t>Якщо ви вважаєте, що контент, створений користувачами, на офіційному DAWNBLOOM Community або інших офіційних сторінках DAWNBLOOM порушує ваші авторські права, права на торговельні марки, право на зображення, репутаційні права або інші законні права та інтереси, ви можете подати скаргу через офіційний юридичний/контактний канал для питань авторських прав. Для верифікації рекомендуємо надати:</w:t>
      </w:r>
    </w:p>
    <w:p>
      <w:pPr>
        <w:pStyle w:val="ListBullet"/>
        <w:keepLines w:val="0"/>
      </w:pPr>
      <w:r>
        <w:rPr>
          <w:rFonts w:ascii="Noto Sans" w:hAnsi="Noto Sans" w:eastAsia="Arial Unicode MS" w:cs="Noto Sans"/>
          <w:b w:val="0"/>
        </w:rPr>
        <w:t>Назву власника прав або найменування суб’єкта та контактну інформацію, включаючи електронну пошту, телефон або інші контактні дані;</w:t>
      </w:r>
    </w:p>
    <w:p>
      <w:pPr>
        <w:pStyle w:val="ListBullet"/>
        <w:keepLines w:val="0"/>
      </w:pPr>
      <w:r>
        <w:rPr>
          <w:rFonts w:ascii="Noto Sans" w:hAnsi="Noto Sans" w:eastAsia="Arial Unicode MS" w:cs="Noto Sans"/>
          <w:b w:val="0"/>
        </w:rPr>
        <w:t>Докази, що підтверджують володіння або уповноваження;</w:t>
      </w:r>
    </w:p>
    <w:p>
      <w:pPr>
        <w:pStyle w:val="ListBullet"/>
        <w:keepLines w:val="0"/>
      </w:pPr>
      <w:r>
        <w:rPr>
          <w:rFonts w:ascii="Noto Sans" w:hAnsi="Noto Sans" w:eastAsia="Arial Unicode MS" w:cs="Noto Sans"/>
          <w:b w:val="0"/>
        </w:rPr>
        <w:t>URL-адресу оскаржуваного контенту, ID посту, скріншот або інші точні ідентифікаційні дані;</w:t>
      </w:r>
    </w:p>
    <w:p>
      <w:pPr>
        <w:pStyle w:val="ListBullet"/>
        <w:keepLines w:val="0"/>
      </w:pPr>
      <w:r>
        <w:rPr>
          <w:rFonts w:ascii="Noto Sans" w:hAnsi="Noto Sans" w:eastAsia="Arial Unicode MS" w:cs="Noto Sans"/>
          <w:b w:val="0"/>
        </w:rPr>
        <w:t>Короткий виклад щодо заявленого порушення та бажаних дій;</w:t>
      </w:r>
    </w:p>
    <w:p>
      <w:pPr>
        <w:pStyle w:val="ListBullet"/>
        <w:keepLines w:val="0"/>
      </w:pPr>
      <w:r>
        <w:rPr>
          <w:rFonts w:ascii="Noto Sans" w:hAnsi="Noto Sans" w:eastAsia="Arial Unicode MS" w:cs="Noto Sans"/>
          <w:b w:val="0"/>
        </w:rPr>
        <w:t>Заяву про підтвердження точності та достовірності скарги та готовність нести відповідальність за будь-які зловмисні або хибні твердження.</w:t>
      </w:r>
    </w:p>
    <w:p>
      <w:pPr>
        <w:keepLines w:val="0"/>
      </w:pPr>
      <w:r>
        <w:rPr>
          <w:rFonts w:ascii="Noto Sans" w:hAnsi="Noto Sans" w:eastAsia="Arial Unicode MS" w:cs="Noto Sans"/>
          <w:b w:val="0"/>
        </w:rPr>
        <w:t>Отримавши повідомлення, що містить базову перевірювану інформацію, оператор повинен, спираючись на характер контенту, попередні докази та чинне законодавство, негайно вжити розумних заходів, таких як: зв’язок із публікантом контенту, обмеження відображення, тимчасове блокування, видалення контенту, розрив посилань, збереження доказів, відновлення випадково видаленого контенту, надання каналів для апеляцій або контраскарг, або відхилення очевидно необґрунтованих скарг.</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Згідно з чинними китайськими нормами щодо авторських прав в Інтернеті та судовою практикою, акцент робиться на механізмі «повідомлення — видалення». Повідомлення про порушення авторських прав мають містити інформацію, достатню для ідентифікації контенту, та попередні докази, що підтверджують претензії щодо прав або порушень; після отримання дійсного повідомлення платформа має негайно вжити необхідних заходів відповідно до конкретних обставин.</w:t>
            </w:r>
          </w:p>
        </w:tc>
      </w:tr>
    </w:tbl>
    <w:p>
      <w:pPr>
        <w:spacing w:after="40"/>
      </w:pPr>
    </w:p>
    <w:p>
      <w:pPr>
        <w:pStyle w:val="Heading1"/>
        <w:keepLines w:val="0"/>
      </w:pPr>
      <w:r>
        <w:rPr>
          <w:rFonts w:ascii="Noto Sans" w:hAnsi="Noto Sans" w:eastAsia="Arial Unicode MS" w:cs="Noto Sans"/>
          <w:b w:val="0"/>
        </w:rPr>
        <w:t>5. Скарги щодо авторських прав від користувачів США</w:t>
      </w:r>
    </w:p>
    <w:p>
      <w:pPr>
        <w:keepLines w:val="0"/>
      </w:pPr>
      <w:r>
        <w:rPr>
          <w:rFonts w:ascii="Noto Sans" w:hAnsi="Noto Sans" w:eastAsia="Arial Unicode MS" w:cs="Noto Sans"/>
          <w:b w:val="0"/>
        </w:rPr>
        <w:t xml:space="preserve">Якщо ви вважаєте, що контент на Майдані Дослідників або на офіційному сайті порушує ваші авторські права, надішліть URL контенту, деталі захищеного твору, докази власності або дозволу та контактний електронний лист на </w:t>
      </w: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Ми розглянемо це та дамо відповідь відповідно до чинних правил.</w:t>
      </w:r>
    </w:p>
    <w:p>
      <w:pPr>
        <w:keepLines w:val="0"/>
      </w:pP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є загальним каналом для скарг щодо авторських прав. Ця сторінка не стверджує, що призначений агент зареєстрований згідно зі статтею 512 закону DMCA, і не представляє загальну поштову скриньку як зареєстрованого призначеного агента.</w:t>
      </w:r>
    </w:p>
    <w:p>
      <w:pPr>
        <w:keepLines w:val="0"/>
      </w:pPr>
      <w:r>
        <w:rPr>
          <w:rFonts w:ascii="Noto Sans" w:hAnsi="Noto Sans" w:eastAsia="Arial Unicode MS" w:cs="Noto Sans"/>
          <w:b w:val="0"/>
        </w:rPr>
        <w:t>Якщо буде впроваджено спеціальний американський процес повідомлення, видалення та контр-повідомлення, його сфера застосування, необхідна інформація та кроки оброблення будуть опубліковані на офіційній точці доступу.</w:t>
      </w:r>
    </w:p>
    <w:p>
      <w:pPr>
        <w:keepLines w:val="0"/>
      </w:pPr>
      <w:r>
        <w:rPr>
          <w:rFonts w:ascii="Noto Sans" w:hAnsi="Noto Sans" w:eastAsia="Arial Unicode MS" w:cs="Noto Sans"/>
          <w:b w:val="0"/>
        </w:rPr>
        <w:t>Якщо ви вважаєте, що ваш контент було видалено помилково, ви також можете запросити перегляд через цю електронну адресу, надавши оригінальний URL-адресу контенту, повідомлення про видалення, підставу ваших прав або уповноваження та контактні дані.</w:t>
      </w:r>
    </w:p>
    <w:p>
      <w:pPr>
        <w:pStyle w:val="Heading1"/>
        <w:keepLines w:val="0"/>
      </w:pPr>
      <w:r>
        <w:rPr>
          <w:rFonts w:ascii="Noto Sans" w:hAnsi="Noto Sans" w:eastAsia="Arial Unicode MS" w:cs="Noto Sans"/>
          <w:b w:val="0"/>
        </w:rPr>
        <w:t>6. Японське авторське право та контент, створений гравцями</w:t>
      </w:r>
    </w:p>
    <w:p>
      <w:pPr>
        <w:keepLines w:val="0"/>
      </w:pPr>
      <w:r>
        <w:rPr>
          <w:rFonts w:ascii="Noto Sans" w:hAnsi="Noto Sans" w:eastAsia="Arial Unicode MS" w:cs="Noto Sans"/>
          <w:b w:val="0"/>
        </w:rPr>
        <w:t>Під час надання контенту японським користувачам будь-яке публічне повторне розміщення, завантаження або використання творів третіх осіб загалом має відповідати Закону Японії про авторське право та межі повноважень, якими володіють відповідні правовласники. Ліцензія, надана DAWNBLOOM для повторного розміщення офіційних матеріалів, охоплює лише офіційний контент, явно дозволений у Розділі 3 цього документа, і не становить авторизації від будь-якого іншого правовласника.</w:t>
      </w:r>
    </w:p>
    <w:p>
      <w:pPr>
        <w:keepLines w:val="0"/>
      </w:pPr>
      <w:r>
        <w:rPr>
          <w:rFonts w:ascii="Noto Sans" w:hAnsi="Noto Sans" w:eastAsia="Arial Unicode MS" w:cs="Noto Sans"/>
          <w:b w:val="0"/>
        </w:rPr>
        <w:t>Якщо контент, завантажений японськими користувачами, буде оскаржено правовласниками, оператор може провести перевірку та обробку відповідно до чинних законів, правил платформи та механізмів, зазначених у Розділі 4 цього документа. Щодо чинних меж фанфіків, прямих трансляцій, відеомонтажу та інших фанатських творів, дивіться поточні Настанови щодо фанатського контенту та похідних творів.</w:t>
      </w:r>
    </w:p>
    <w:p>
      <w:pPr>
        <w:pStyle w:val="Heading1"/>
        <w:keepLines w:val="0"/>
      </w:pPr>
      <w:r>
        <w:rPr>
          <w:rFonts w:ascii="Noto Sans" w:hAnsi="Noto Sans" w:eastAsia="Arial Unicode MS" w:cs="Noto Sans"/>
          <w:b w:val="0"/>
        </w:rPr>
        <w:t>7. Заяви щодо торгових марок та брендів третіх сторін</w:t>
      </w:r>
    </w:p>
    <w:p>
      <w:pPr>
        <w:keepLines w:val="0"/>
      </w:pPr>
      <w:r>
        <w:rPr>
          <w:rFonts w:ascii="Noto Sans" w:hAnsi="Noto Sans" w:eastAsia="Arial Unicode MS" w:cs="Noto Sans"/>
          <w:b w:val="0"/>
        </w:rPr>
        <w:t>Вебсайт DAWNBLOOM, клієнтський додаток або рекламні матеріали можуть містити посилання на назви третіх сторін, торговельні марки, знаки обслуговування або офіційні логотипи для ілюстрації сумісності платформи, точок завантаження, способів оплати, каналів спільноти або пов'язаних послуг. Такі посилання призначені виключно для ідентифікації та не означають, що третя сторона бере участь у розробці, розповсюдженні, експлуатації, спонсорстві, сертифікації або підтримці DAWNBLOOM, якщо інше явно не зазначено письмово.</w:t>
      </w:r>
    </w:p>
    <w:p>
      <w:pPr>
        <w:keepLines w:val="0"/>
      </w:pPr>
      <w:r>
        <w:rPr>
          <w:rFonts w:ascii="Noto Sans" w:hAnsi="Noto Sans" w:eastAsia="Arial Unicode MS" w:cs="Noto Sans"/>
          <w:b w:val="0"/>
        </w:rPr>
        <w:t>Назви та знаки, такі як Apple, Google, Microsoft, Steam, App Store, Google Play, Gmail та Outlook, належать їх відповідним власникам. Посилання на сумісність або посилання на магазин не передбачають партнерства чи підтримки.</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Приклади ідентифікаторів третіх сторін</w:t>
            </w:r>
          </w:p>
        </w:tc>
        <w:tc>
          <w:tcPr>
            <w:tcW w:type="dxa" w:w="4873"/>
            <w:vAlign w:val="center"/>
            <w:shd w:fill="DCE8F7"/>
          </w:tcPr>
          <w:p>
            <w:pPr>
              <w:keepNext/>
              <w:spacing w:after="40"/>
            </w:pPr>
            <w:r>
              <w:rPr>
                <w:rFonts w:ascii="Noto Sans" w:hAnsi="Noto Sans" w:eastAsia="Arial Unicode MS" w:cs="Noto Sans"/>
                <w:b/>
                <w:sz w:val="17"/>
              </w:rPr>
              <w:t>Пояснення</w:t>
            </w:r>
          </w:p>
        </w:tc>
      </w:tr>
      <w:tr>
        <w:trPr>
          <w:cantSplit/>
        </w:trPr>
        <w:tc>
          <w:tcPr>
            <w:tcW w:type="dxa" w:w="4873"/>
            <w:vAlign w:val="center"/>
          </w:tcPr>
          <w:p>
            <w:pPr>
              <w:spacing w:after="40"/>
            </w:pPr>
            <w:r>
              <w:rPr>
                <w:rFonts w:ascii="Noto Sans" w:hAnsi="Noto Sans" w:eastAsia="Arial Unicode MS" w:cs="Noto Sans"/>
                <w:sz w:val="17"/>
              </w:rPr>
              <w:t>Apple, App Store, Apple Pay, iPhone, iPad, Mac тощо.</w:t>
            </w:r>
          </w:p>
        </w:tc>
        <w:tc>
          <w:tcPr>
            <w:tcW w:type="dxa" w:w="4873"/>
            <w:vAlign w:val="center"/>
          </w:tcPr>
          <w:p>
            <w:pPr>
              <w:spacing w:after="40"/>
            </w:pPr>
            <w:r>
              <w:rPr>
                <w:rFonts w:ascii="Noto Sans" w:hAnsi="Noto Sans" w:eastAsia="Arial Unicode MS" w:cs="Noto Sans"/>
                <w:sz w:val="17"/>
              </w:rPr>
              <w:t>Згадані назви та логотипи належать Apple Inc. або її афілійованим правонаступникам. При використанні офіційних логотипів, таких як App Store або Apple Pay, необхідно суворо дотримуватися останніх бренд-стандартів та юридичних вказівок Apple.</w:t>
            </w:r>
          </w:p>
        </w:tc>
      </w:tr>
      <w:tr>
        <w:trPr>
          <w:cantSplit/>
        </w:trPr>
        <w:tc>
          <w:tcPr>
            <w:tcW w:type="dxa" w:w="4873"/>
            <w:vAlign w:val="center"/>
          </w:tcPr>
          <w:p>
            <w:pPr>
              <w:spacing w:after="40"/>
            </w:pPr>
            <w:r>
              <w:rPr>
                <w:rFonts w:ascii="Noto Sans" w:hAnsi="Noto Sans" w:eastAsia="Arial Unicode MS" w:cs="Noto Sans"/>
                <w:sz w:val="17"/>
              </w:rPr>
              <w:t>Steam, Логотип Steam, Valve</w:t>
            </w:r>
          </w:p>
        </w:tc>
        <w:tc>
          <w:tcPr>
            <w:tcW w:type="dxa" w:w="4873"/>
            <w:vAlign w:val="center"/>
          </w:tcPr>
          <w:p>
            <w:pPr>
              <w:spacing w:after="40"/>
            </w:pPr>
            <w:r>
              <w:rPr>
                <w:rFonts w:ascii="Noto Sans" w:hAnsi="Noto Sans" w:eastAsia="Arial Unicode MS" w:cs="Noto Sans"/>
                <w:sz w:val="17"/>
              </w:rPr>
              <w:t>Згадані назви та логотипи належать Valve Corporation або її афілійованим правонаступникам. Бренд Steam не слід використовувати так, щоб це натякало на спонсорство або підтримку з боку Valve контенту, який не є продуктом Valve.</w:t>
            </w:r>
          </w:p>
        </w:tc>
      </w:tr>
      <w:tr>
        <w:trPr>
          <w:cantSplit/>
        </w:trPr>
        <w:tc>
          <w:tcPr>
            <w:tcW w:type="dxa" w:w="4873"/>
            <w:vAlign w:val="center"/>
          </w:tcPr>
          <w:p>
            <w:pPr>
              <w:spacing w:after="40"/>
            </w:pPr>
            <w:r>
              <w:rPr>
                <w:rFonts w:ascii="Noto Sans" w:hAnsi="Noto Sans" w:eastAsia="Arial Unicode MS" w:cs="Noto Sans"/>
                <w:sz w:val="17"/>
              </w:rPr>
              <w:t>Microsoft, Windows</w:t>
            </w:r>
          </w:p>
        </w:tc>
        <w:tc>
          <w:tcPr>
            <w:tcW w:type="dxa" w:w="4873"/>
            <w:vAlign w:val="center"/>
          </w:tcPr>
          <w:p>
            <w:pPr>
              <w:spacing w:after="40"/>
            </w:pPr>
            <w:r>
              <w:rPr>
                <w:rFonts w:ascii="Noto Sans" w:hAnsi="Noto Sans" w:eastAsia="Arial Unicode MS" w:cs="Noto Sans"/>
                <w:sz w:val="17"/>
              </w:rPr>
              <w:t>Згадані назви та логотипи належать їхнім відповідним правонаступникам.</w:t>
            </w:r>
          </w:p>
        </w:tc>
      </w:tr>
      <w:tr>
        <w:trPr>
          <w:cantSplit/>
        </w:trPr>
        <w:tc>
          <w:tcPr>
            <w:tcW w:type="dxa" w:w="4873"/>
            <w:vAlign w:val="center"/>
          </w:tcPr>
          <w:p>
            <w:pPr>
              <w:spacing w:after="40"/>
            </w:pPr>
            <w:r>
              <w:rPr>
                <w:rFonts w:ascii="Noto Sans" w:hAnsi="Noto Sans" w:eastAsia="Arial Unicode MS" w:cs="Noto Sans"/>
                <w:sz w:val="17"/>
              </w:rPr>
              <w:t>Google Play, Android</w:t>
            </w:r>
          </w:p>
        </w:tc>
        <w:tc>
          <w:tcPr>
            <w:tcW w:type="dxa" w:w="4873"/>
            <w:vAlign w:val="center"/>
          </w:tcPr>
          <w:p>
            <w:pPr>
              <w:spacing w:after="40"/>
            </w:pPr>
            <w:r>
              <w:rPr>
                <w:rFonts w:ascii="Noto Sans" w:hAnsi="Noto Sans" w:eastAsia="Arial Unicode MS" w:cs="Noto Sans"/>
                <w:sz w:val="17"/>
              </w:rPr>
              <w:t>Згадані назви та логотипи належать їхнім відповідним правонаступникам.</w:t>
            </w:r>
          </w:p>
        </w:tc>
      </w:tr>
      <w:tr>
        <w:trPr>
          <w:cantSplit/>
        </w:trPr>
        <w:tc>
          <w:tcPr>
            <w:tcW w:type="dxa" w:w="4873"/>
            <w:vAlign w:val="center"/>
          </w:tcPr>
          <w:p>
            <w:pPr>
              <w:spacing w:after="40"/>
            </w:pPr>
            <w:r>
              <w:rPr>
                <w:rFonts w:ascii="Noto Sans" w:hAnsi="Noto Sans" w:eastAsia="Arial Unicode MS" w:cs="Noto Sans"/>
                <w:sz w:val="17"/>
              </w:rPr>
              <w:t>WeChat, Alipay, UnionPay, Visa, Mastercard</w:t>
            </w:r>
          </w:p>
        </w:tc>
        <w:tc>
          <w:tcPr>
            <w:tcW w:type="dxa" w:w="4873"/>
            <w:vAlign w:val="center"/>
          </w:tcPr>
          <w:p>
            <w:pPr>
              <w:spacing w:after="40"/>
            </w:pPr>
            <w:r>
              <w:rPr>
                <w:rFonts w:ascii="Noto Sans" w:hAnsi="Noto Sans" w:eastAsia="Arial Unicode MS" w:cs="Noto Sans"/>
                <w:sz w:val="17"/>
              </w:rPr>
              <w:t>Вони зазначені виключно як потенційні способи оплати або інтеграції послуг третіх сторін; торговельні марки належать їхнім відповідним правонаступникам.</w:t>
            </w:r>
          </w:p>
        </w:tc>
      </w:tr>
      <w:tr>
        <w:trPr>
          <w:cantSplit/>
        </w:trPr>
        <w:tc>
          <w:tcPr>
            <w:tcW w:type="dxa" w:w="4873"/>
            <w:vAlign w:val="center"/>
          </w:tcPr>
          <w:p>
            <w:pPr>
              <w:spacing w:after="40"/>
            </w:pPr>
            <w:r>
              <w:rPr>
                <w:rFonts w:ascii="Noto Sans" w:hAnsi="Noto Sans" w:eastAsia="Arial Unicode MS" w:cs="Noto Sans"/>
                <w:sz w:val="17"/>
              </w:rPr>
              <w:t>WhatsApp, Instagram, Facebook, Threads, YouTube, Telegram, X, Xiaohongshu, Douyin тощо.</w:t>
            </w:r>
          </w:p>
        </w:tc>
        <w:tc>
          <w:tcPr>
            <w:tcW w:type="dxa" w:w="4873"/>
            <w:vAlign w:val="center"/>
          </w:tcPr>
          <w:p>
            <w:pPr>
              <w:spacing w:after="40"/>
            </w:pPr>
            <w:r>
              <w:rPr>
                <w:rFonts w:ascii="Noto Sans" w:hAnsi="Noto Sans" w:eastAsia="Arial Unicode MS" w:cs="Noto Sans"/>
                <w:sz w:val="17"/>
              </w:rPr>
              <w:t>Вони використовуються виключно для ідентифікації офіційних каналів спільноти або соціальних мереж, а також послуг третіх сторін; торговельні марки належать їхнім відповідним правонаступникам.</w:t>
            </w:r>
          </w:p>
        </w:tc>
      </w:tr>
    </w:tbl>
    <w:p>
      <w:pPr>
        <w:spacing w:after="40"/>
      </w:pPr>
    </w:p>
    <w:p>
      <w:pPr>
        <w:keepLines w:val="0"/>
      </w:pPr>
      <w:r>
        <w:rPr>
          <w:rFonts w:ascii="Noto Sans" w:hAnsi="Noto Sans" w:eastAsia="Arial Unicode MS" w:cs="Noto Sans"/>
          <w:b w:val="0"/>
        </w:rPr>
        <w:t>Оператор намагатиметься використовувати офіційні логотипи та брендові активи, надані третіми сторонами, та дотримуватиметься вимог щодо розміру, відступів, кольору, маркування та «немає неявного підтримки». Інструкції з брендування третіх сторін можуть оновлюватися; офіційний вебсайт має дотримуватися найновіших офіційних інструкцій, опублікованих третьою стороною.</w:t>
      </w:r>
    </w:p>
    <w:p>
      <w:pPr>
        <w:pStyle w:val="Heading1"/>
        <w:keepLines w:val="0"/>
      </w:pPr>
      <w:r>
        <w:rPr>
          <w:rFonts w:ascii="Noto Sans" w:hAnsi="Noto Sans" w:eastAsia="Arial Unicode MS" w:cs="Noto Sans"/>
          <w:b w:val="0"/>
        </w:rPr>
        <w:t>8. Програмне забезпечення з відкритим кодом та заяви про компоненти третіх сторін</w:t>
      </w:r>
    </w:p>
    <w:p>
      <w:pPr>
        <w:keepLines w:val="0"/>
      </w:pPr>
      <w:r>
        <w:rPr>
          <w:rFonts w:ascii="Noto Sans" w:hAnsi="Noto Sans" w:eastAsia="Arial Unicode MS" w:cs="Noto Sans"/>
          <w:b w:val="0"/>
        </w:rPr>
        <w:t>Клієнт гри DAWNBLOOM, сервер, офіційний вебсайт або пов'язані інструменти розробки можуть містити або спиратися на стороннє програмне забезпечення з відкритим кодом, бібліотеки, фреймворки, шрифти, компоненти обробки аудіо/зображень та інші технології. Такі сторонні компоненти залишаються підпорядкованими їхнім відповідним ліцензіям, повідомленням про авторські права, вимогам щодо атрибуції та іншим застосовним умовам.</w:t>
      </w:r>
    </w:p>
    <w:p>
      <w:pPr>
        <w:keepLines w:val="0"/>
      </w:pPr>
      <w:r>
        <w:rPr>
          <w:rFonts w:ascii="Noto Sans" w:hAnsi="Noto Sans" w:eastAsia="Arial Unicode MS" w:cs="Noto Sans"/>
          <w:b w:val="0"/>
        </w:rPr>
        <w:t>Додатки, вебсайт та гра можуть кожен використовувати компоненти з відкритим вихідним кодом. Сповіщення слідують за компонентами у фактично розповсюджуваній версії; ці ліцензії не надають прав DAWNBLOOM щодо стороннього контенту, який не пов'язаний із ними.</w:t>
      </w:r>
    </w:p>
    <w:p>
      <w:pPr>
        <w:keepLines w:val="0"/>
      </w:pPr>
      <w:r>
        <w:rPr>
          <w:rFonts w:ascii="Noto Sans" w:hAnsi="Noto Sans" w:eastAsia="Arial Unicode MS" w:cs="Noto Sans"/>
          <w:b w:val="0"/>
        </w:rPr>
        <w:t>На момент офіційного випуску оператор повинен підтримувати сторінку Open Source Notices / Open Source Software Disclosure або включити список ліцензій до розповсюдження програмного забезпечення, виконуючи обов'язки, вимоги яких передбачені MIT, Apache, BSD, OFL, LGPL/GPL або будь-якою іншою фактично використаною ліцензією.</w:t>
      </w:r>
    </w:p>
    <w:p>
      <w:pPr>
        <w:keepLines w:val="0"/>
      </w:pPr>
      <w:r>
        <w:rPr>
          <w:rFonts w:ascii="Noto Sans" w:hAnsi="Noto Sans" w:eastAsia="Arial Unicode MS" w:cs="Noto Sans"/>
          <w:b w:val="0"/>
        </w:rPr>
        <w:t>Сторонні проекти з відкритим вихідним кодом, автори, фонди або власники прав не будуть автоматично вважатися спонсорами, партнерами, сертифікаторами чи прихильниками DAWNBLOOM лише через те, що їх технологія використовується.</w:t>
      </w:r>
    </w:p>
    <w:p>
      <w:pPr>
        <w:pStyle w:val="Heading1"/>
        <w:keepLines w:val="0"/>
      </w:pPr>
      <w:r>
        <w:rPr>
          <w:rFonts w:ascii="Noto Sans" w:hAnsi="Noto Sans" w:eastAsia="Arial Unicode MS" w:cs="Noto Sans"/>
          <w:b w:val="0"/>
        </w:rPr>
        <w:t>9. Зовнішні посилання, послуги третіх сторін та точність контенту</w:t>
      </w:r>
    </w:p>
    <w:p>
      <w:pPr>
        <w:keepLines w:val="0"/>
      </w:pPr>
      <w:r>
        <w:rPr>
          <w:rFonts w:ascii="Noto Sans" w:hAnsi="Noto Sans" w:eastAsia="Arial Unicode MS" w:cs="Noto Sans"/>
          <w:b w:val="0"/>
        </w:rPr>
        <w:t>Офіційний вебсайт може містити посилання на Steam, App Store, соціальні мережі, платіжні сервіси, платформи підтримки клієнтів або інші сторонні послуги. Вебсайти та послуги третіх сторін незалежно управляються відповідними суб'єктами, і DAWNBLOOM не може контролювати їхню доступність, зміст, практики конфіденційності, регіональні обмеження, умови обслуговування чи зміни політики.</w:t>
      </w:r>
    </w:p>
    <w:p>
      <w:pPr>
        <w:keepLines w:val="0"/>
      </w:pPr>
      <w:r>
        <w:rPr>
          <w:rFonts w:ascii="Noto Sans" w:hAnsi="Noto Sans" w:eastAsia="Arial Unicode MS" w:cs="Noto Sans"/>
          <w:b w:val="0"/>
        </w:rPr>
        <w:t>Джерела новин, зовнішні сайти, поштові провайдери та магазини додатків контролюють свій власний контент, акаунти та умови. Офіційні посилання на програмне забезпечення публікуються на dawnbloom.net або в магазинах, які явно пов'язані з ним.</w:t>
      </w:r>
    </w:p>
    <w:p>
      <w:pPr>
        <w:keepLines w:val="0"/>
      </w:pPr>
      <w:r>
        <w:rPr>
          <w:rFonts w:ascii="Noto Sans" w:hAnsi="Noto Sans" w:eastAsia="Arial Unicode MS" w:cs="Noto Sans"/>
          <w:b w:val="0"/>
        </w:rPr>
        <w:t>Офіційний вебсайт зробить усі можливі зусилля для забезпечення точності анонсів, посібників, інструкцій завантаження, інформації про сумісність та іншого публічно доступного контенту, але гра продовжуватиме розроблятися та оновлюватися. Скріншоти, концепт-арт, тестові функції, запланована підтримка платформ та контент, який ще не був офіційно випущений, можуть бути адаптовані, відкладені або скасовані залежно від фактичного прогресу розробки. За винятком того, що вимагається законом або де сторінка явно є продуктовою чи сервісною зобов'язанням, контент, відображений під час фази розробки, не є безумовною гарантією для майбутніх версій.</w:t>
      </w:r>
    </w:p>
    <w:p>
      <w:pPr>
        <w:keepLines w:val="0"/>
      </w:pPr>
      <w:r>
        <w:rPr>
          <w:rFonts w:ascii="Noto Sans" w:hAnsi="Noto Sans" w:eastAsia="Arial Unicode MS" w:cs="Noto Sans"/>
          <w:b w:val="0"/>
        </w:rPr>
        <w:t>Пости, коментарі, посібники та інший контент, створений користувачами (UGC), опублікований гравцями на DAWNBLOOM Community, відображає лише їхні особисті думки і не обов'язково представляє офіційну позицію DAWNBLOOM.</w:t>
      </w:r>
    </w:p>
    <w:p>
      <w:pPr>
        <w:pStyle w:val="Heading1"/>
        <w:keepLines w:val="0"/>
      </w:pPr>
      <w:r>
        <w:rPr>
          <w:rFonts w:ascii="Noto Sans" w:hAnsi="Noto Sans" w:eastAsia="Arial Unicode MS" w:cs="Noto Sans"/>
          <w:b w:val="0"/>
        </w:rPr>
        <w:t>10. Посібник Dawnbloom та послуги штучного інтелекту для гравців</w:t>
      </w:r>
    </w:p>
    <w:p>
      <w:pPr>
        <w:keepLines w:val="0"/>
      </w:pPr>
      <w:r>
        <w:rPr>
          <w:rFonts w:ascii="Noto Sans" w:hAnsi="Noto Sans" w:eastAsia="Arial Unicode MS" w:cs="Noto Sans"/>
          <w:b w:val="0"/>
        </w:rPr>
        <w:t>DAWNBLOOM AI — бренд системи інтелектуальної взаємодії та технічних послуг нашої компанії, а DAWNBLOOM Fairy — інтелектуальний помічник та інтерактивний образ для користувачів у межах тієї самої системи послуг. DAWNBLOOM AI 2.0 позначає публічну версію цієї системи інтелектуальних послуг і не означає, що наша компанія самостійно навчила базову велику мовну модель. «DAWNBLOOM Fairy» — інтелектуальний ігровий помічник і точка доступу до обслуговування гравців за допомогою ШІ, які DAWNBLOOM надає гравцям. Він може як відповідати на запитання щодо доступних гравцям ігрових механік, завдань, класів, фантастичних істот, карт, подій і порад щодо проходження, так і допомагати вирішувати або спрямовувати до вирішення питань безпеки облікового запису, ігрових активів, замовлень на поповнення, аномальних станів і звернень до підтримки. Послуги обмежуються відповідями на запитання щодо загальнодоступних відомостей про гру та продукти, текстовим спілкуванням природною мовою, допомогою гравцям у зверненні до служб обслуговування та фактично доступними можливостями інтерфейсу Intelligent UI; підтримка мов на офіційному сайті не розширює мовного охоплення ігрового клієнта або кожного з шести програмних продуктів. Наразі не надаються послуги генерування чи редагування зображень, створення PDF, Word, презентацій, електронних таблиць або загальної автоматизації офісної роботи.</w:t>
      </w:r>
    </w:p>
    <w:p>
      <w:pPr>
        <w:keepLines w:val="0"/>
      </w:pPr>
      <w:r>
        <w:rPr>
          <w:rFonts w:ascii="Noto Sans" w:hAnsi="Noto Sans" w:eastAsia="Arial Unicode MS" w:cs="Noto Sans"/>
          <w:b w:val="0"/>
        </w:rPr>
        <w:t>Довідник Dawnbloom може допомогти гравцям у вирішенні проблем, включаючи, але не обмежуючись наступним:</w:t>
      </w:r>
    </w:p>
    <w:p>
      <w:pPr>
        <w:pStyle w:val="ListBullet"/>
        <w:keepLines w:val="0"/>
      </w:pPr>
      <w:r>
        <w:rPr>
          <w:rFonts w:ascii="Noto Sans" w:hAnsi="Noto Sans" w:eastAsia="Arial Unicode MS" w:cs="Noto Sans"/>
          <w:b w:val="0"/>
        </w:rPr>
        <w:t>Ігрові механіки, прогрес завдань, розвиток кар'єри, вирощування фантомних звірів, дослідження мапи, правила подій та ігрові стратегії;</w:t>
      </w:r>
    </w:p>
    <w:p>
      <w:pPr>
        <w:pStyle w:val="ListBullet"/>
        <w:keepLines w:val="0"/>
      </w:pPr>
      <w:r>
        <w:rPr>
          <w:rFonts w:ascii="Noto Sans" w:hAnsi="Noto Sans" w:eastAsia="Arial Unicode MS" w:cs="Noto Sans"/>
          <w:b w:val="0"/>
        </w:rPr>
        <w:t>Аномалії входу до облікового запису, забутий пароль, перевірка електронної пошти або номера телефону, ризики безпеки облікового запису та підозра у крадіжці облікового запису;</w:t>
      </w:r>
    </w:p>
    <w:p>
      <w:pPr>
        <w:pStyle w:val="ListBullet"/>
        <w:keepLines w:val="0"/>
      </w:pPr>
      <w:r>
        <w:rPr>
          <w:rFonts w:ascii="Noto Sans" w:hAnsi="Noto Sans" w:eastAsia="Arial Unicode MS" w:cs="Noto Sans"/>
          <w:b w:val="0"/>
        </w:rPr>
        <w:t>Втрата, розбіжності в кількості або аномалії статусу персонажів, предметів, спорядження, фантомних звірів, золотих монет або магічних монет;</w:t>
      </w:r>
    </w:p>
    <w:p>
      <w:pPr>
        <w:pStyle w:val="ListBullet"/>
        <w:keepLines w:val="0"/>
      </w:pPr>
      <w:r>
        <w:rPr>
          <w:rFonts w:ascii="Noto Sans" w:hAnsi="Noto Sans" w:eastAsia="Arial Unicode MS" w:cs="Noto Sans"/>
          <w:b w:val="0"/>
        </w:rPr>
        <w:t>Аномальне споживання, аномальні прибутки, транзакційні аномалії, неотримані винагороди, аномалії у винагородах за події або аномалії в повідомленнях або системах месенджерів;</w:t>
      </w:r>
    </w:p>
    <w:p>
      <w:pPr>
        <w:pStyle w:val="ListBullet"/>
        <w:keepLines w:val="0"/>
      </w:pPr>
      <w:r>
        <w:rPr>
          <w:rFonts w:ascii="Noto Sans" w:hAnsi="Noto Sans" w:eastAsia="Arial Unicode MS" w:cs="Noto Sans"/>
          <w:b w:val="0"/>
        </w:rPr>
        <w:t>Поповнення, замовлення, покупки в магазині, обмін та пов'язані питання щодо доставки або підтвердження;</w:t>
      </w:r>
    </w:p>
    <w:p>
      <w:pPr>
        <w:pStyle w:val="ListBullet"/>
        <w:keepLines w:val="0"/>
      </w:pPr>
      <w:r>
        <w:rPr>
          <w:rFonts w:ascii="Noto Sans" w:hAnsi="Noto Sans" w:eastAsia="Arial Unicode MS" w:cs="Noto Sans"/>
          <w:b w:val="0"/>
        </w:rPr>
        <w:t>Відгуки щодо багів у грі, функціональних збоїв, аварійних завершень, відключень або десинхронізації даних;</w:t>
      </w:r>
    </w:p>
    <w:p>
      <w:pPr>
        <w:pStyle w:val="ListBullet"/>
        <w:keepLines w:val="0"/>
      </w:pPr>
      <w:r>
        <w:rPr>
          <w:rFonts w:ascii="Noto Sans" w:hAnsi="Noto Sans" w:eastAsia="Arial Unicode MS" w:cs="Noto Sans"/>
          <w:b w:val="0"/>
        </w:rPr>
        <w:t>Скарги на втрату персонажів, предметів, фантомних звірів та валюти внаслідок крадіжки облікового запису;</w:t>
      </w:r>
    </w:p>
    <w:p>
      <w:pPr>
        <w:pStyle w:val="ListBullet"/>
        <w:keepLines w:val="0"/>
      </w:pPr>
      <w:r>
        <w:rPr>
          <w:rFonts w:ascii="Noto Sans" w:hAnsi="Noto Sans" w:eastAsia="Arial Unicode MS" w:cs="Noto Sans"/>
          <w:b w:val="0"/>
        </w:rPr>
        <w:t>Інструкції щодо запитів та оскарження блокування акаунтів, обмежень або інших ненормальних статусів;</w:t>
      </w:r>
    </w:p>
    <w:p>
      <w:pPr>
        <w:pStyle w:val="ListBullet"/>
        <w:keepLines w:val="0"/>
      </w:pPr>
      <w:r>
        <w:rPr>
          <w:rFonts w:ascii="Noto Sans" w:hAnsi="Noto Sans" w:eastAsia="Arial Unicode MS" w:cs="Noto Sans"/>
          <w:b w:val="0"/>
        </w:rPr>
        <w:t>Інші питання, що потребують допомоги від центру підтримки гравців.</w:t>
      </w:r>
    </w:p>
    <w:p>
      <w:pPr>
        <w:keepLines w:val="0"/>
      </w:pPr>
      <w:r>
        <w:rPr>
          <w:rFonts w:ascii="Noto Sans" w:hAnsi="Noto Sans" w:eastAsia="Arial Unicode MS" w:cs="Noto Sans"/>
          <w:b w:val="0"/>
        </w:rPr>
        <w:t>Щодо питань, які можна безпосередньо оцінити на основі загальнодоступних матеріалів, DAWNBLOOM Fairy може надавати негайні відповіді або вказівки щодо вирішення; щодо питань безпеки облікового запису, записів операцій, ігрових активів, відновлення даних, втрат від викрадення, оскарження санкцій та інших питань, які потребують перевірки серверних даних, DAWNBLOOM Fairy може допомагати пройти перевірку особи, упорядкувати необхідну інформацію, сформувати процедуру розгляду, створити або передати офіційне звернення та сприяти перевірці на основі серверних записів, журналів дій та інших надійних даних. Intelligent UI поєднує відповіді з інтерактивними інформаційними картками, точками доступу до функцій та інтерфейсами підтвердження. Інформація про фантастичних істот, спорядження, предмети, особисті ігрові записи та безпеку облікового запису надається лише в межах доступної функції, за правомірним дозволом відповідної особи та після підтвердження особи й відповідних прав доступу серверною системою. Поява відповіді ШІ, картки чи кнопки не означає, що дію вже виконано; дії з підвищеною чутливістю мають проходити офіційну перевірку та необхідне підтвердження, а їхній результат визначається системою. Заборонено обходити систему прав доступу для зміни даних гравців або читання непублічної інформації інших осіб.</w:t>
      </w:r>
    </w:p>
    <w:p>
      <w:pPr>
        <w:keepLines w:val="0"/>
      </w:pPr>
      <w:r>
        <w:rPr>
          <w:rFonts w:ascii="Noto Sans" w:hAnsi="Noto Sans" w:eastAsia="Arial Unicode MS" w:cs="Noto Sans"/>
          <w:b w:val="0"/>
        </w:rPr>
        <w:t>Довідник Dawnbloom не буде безпосередньо змінювати ігрові ресурси або дані серверної частини лише на прохання гравця. Питання, що стосуються відновлення предметів, відновлення фантомних звірів, аномальної кількості золотих чи магічних монет, втрат через крадіжку, спорів щодо транзакцій, видачі винагород або санкцій щодо облікового запису, мають вирішуватися на основі фактичних записів, прав, визначених правилами, та необхідних процедур перевірки. Для захисту безпеки облікового запису Довідник Dawnbloom ніколи не проситиме гравців надавати паролі до облікових записів або повні одноразові коди підтвердження. Для операцій з обліковими записами високого ризику все ще будуть потрібні офіційні механізми перевірки особи для підтвердження.</w:t>
      </w:r>
    </w:p>
    <w:p>
      <w:pPr>
        <w:keepLines w:val="0"/>
      </w:pPr>
      <w:r>
        <w:rPr>
          <w:rFonts w:ascii="Noto Sans" w:hAnsi="Noto Sans" w:eastAsia="Arial Unicode MS" w:cs="Noto Sans"/>
          <w:b w:val="0"/>
        </w:rPr>
        <w:t>DAWNBLOOM не розголошуватиме гравцям поля бекенду, внутрішні формули обчислень, неоголошені ймовірності, внутрішні множники, стратегії безпеки, методи експлуатації вразливостей, неопубліковані плани документації, інформацію адміністраторів або будь-які інші непублічні дані. Система ШІ може демонструвати помилки розуміння, затримку інформації або неповне вираження; якщо будь-яка відповідь від Посібника Dawnbloom суперечить офіційним оголошенням, сторінкам продуктів, Політика конфіденційності, Правила Гравців та Політика Виконання, Умови продажу та повернення коштів, офіційно перевірені дані або результати ручного перегляду, останні мають перевагу.</w:t>
      </w:r>
    </w:p>
    <w:p>
      <w:pPr>
        <w:keepLines w:val="0"/>
      </w:pPr>
      <w:r>
        <w:rPr>
          <w:rFonts w:ascii="Noto Sans" w:hAnsi="Noto Sans" w:eastAsia="Arial Unicode MS" w:cs="Noto Sans"/>
          <w:b w:val="0"/>
        </w:rPr>
        <w:t>Технічна інтеграція використовує можливості Qwen від Alibaba Cloud Model Studio; для підключення до моделі використовується кінцева точка регіону Токіо, Японія. Регіон розташування кінцевої точки не означає, що всі дані користувачів обробляються лише в Японії, і не замінює перевірки фактичних договорів про надання послуг, журналів постачальника, засобів контролю навчання, налаштувань зберігання та зобов’язань щодо транскордонної передачі. OpenAI Codex бере участь у створенні системи знань, розробленні функцій, проєктуванні взаємодії та постійному вдосконаленні; це не надає йому автоматичного доступу до даних чатів користувачів і не означає, що він навчав базову модель Qwen.</w:t>
      </w:r>
    </w:p>
    <w:p>
      <w:pPr>
        <w:pStyle w:val="Heading1"/>
        <w:keepLines w:val="0"/>
      </w:pPr>
      <w:r>
        <w:rPr>
          <w:rFonts w:ascii="Noto Sans" w:hAnsi="Noto Sans" w:eastAsia="Arial Unicode MS" w:cs="Noto Sans"/>
          <w:b w:val="0"/>
        </w:rPr>
        <w:t>11. Уразливості безпеки, юридичні застереження та запити правоохоронних органів</w:t>
      </w:r>
    </w:p>
    <w:p>
      <w:pPr>
        <w:keepLines w:val="0"/>
      </w:pPr>
      <w:r>
        <w:rPr>
          <w:rFonts w:ascii="Noto Sans" w:hAnsi="Noto Sans" w:eastAsia="Arial Unicode MS" w:cs="Noto Sans"/>
          <w:b w:val="0"/>
        </w:rPr>
        <w:t xml:space="preserve">Якщо ви виявите вразливості безпеки на офіційному сайті, системі облікових записів, Майдані Дослідників, службі підтримки штучного інтелекту або ігрових послуг, які можуть загрожувати безпеці облікових записів гравців, даних або послуг, ми рекомендуємо відповідально повідомляти про них через </w:t>
      </w:r>
      <w:hyperlink r:id="rId19">
        <w:r>
          <w:rPr>
            <w:rFonts w:ascii="Noto Sans" w:hAnsi="Noto Sans" w:eastAsia="Arial Unicode MS"/>
            <w:b w:val="0"/>
          </w:rPr>
          <w:t xml:space="preserve">security@dawnbloom.net</w:t>
        </w:r>
      </w:hyperlink>
      <w:r>
        <w:rPr>
          <w:rFonts w:ascii="Noto Sans" w:hAnsi="Noto Sans" w:eastAsia="Arial Unicode MS" w:cs="Noto Sans"/>
          <w:b w:val="0"/>
        </w:rPr>
        <w:t xml:space="preserve"> або офіційну службу підтримки клієнтів. Не публікуйте деталі експлойтів, методи копіювання предметів, скрипти атак, облікові дані для входу, особисту інформацію інших осіб або внутрішні дані бекенду, які можуть бути негайно використані зловмисниками.</w:t>
      </w:r>
    </w:p>
    <w:p>
      <w:pPr>
        <w:keepLines w:val="0"/>
      </w:pPr>
      <w:r>
        <w:rPr>
          <w:rFonts w:ascii="Noto Sans" w:hAnsi="Noto Sans" w:eastAsia="Arial Unicode MS" w:cs="Noto Sans"/>
          <w:b w:val="0"/>
        </w:rPr>
        <w:t>Запити на збереження, розголошення, видалення, блокування або надання допомоги, подані судами, регуляторними органами, правоохоронними органами або іншими юридично уповноваженими суб'єктами, будуть розглянуті та опрацьовані відповідно до чинного законодавства, повноважень запитувача, автентичності та необхідності. Межі розголошення та зберігання персональних даних визначено в Політиці конфіденційності.</w:t>
      </w:r>
    </w:p>
    <w:p>
      <w:pPr>
        <w:pStyle w:val="Heading1"/>
        <w:keepLines w:val="0"/>
      </w:pPr>
      <w:r>
        <w:rPr>
          <w:rFonts w:ascii="Noto Sans" w:hAnsi="Noto Sans" w:eastAsia="Arial Unicode MS" w:cs="Noto Sans"/>
          <w:b w:val="0"/>
        </w:rPr>
        <w:t>12. Індекс регіональної юридичної інформації</w:t>
      </w:r>
    </w:p>
    <w:p>
      <w:pPr>
        <w:keepLines w:val="0"/>
      </w:pPr>
      <w:r>
        <w:rPr>
          <w:rFonts w:ascii="Noto Sans" w:hAnsi="Noto Sans" w:eastAsia="Arial Unicode MS" w:cs="Noto Sans"/>
          <w:b w:val="0"/>
        </w:rPr>
        <w:t>Ця сторінка є загальним юридичним інформаційним входом і не замінює обов'язкових статутних розголошень, встановлених чинними юрисдикціями. Якщо відбуваються зміни щодо операційної одиниці, місця розташування сервера, методу обробки платежів, інформації про продавця, моделі UGC форуму або політик магазину додатків, відповідні юридичні сторінки будуть оновлені відповідним чином.</w:t>
      </w:r>
    </w:p>
    <w:p>
      <w:pPr>
        <w:pStyle w:val="Heading1"/>
        <w:keepLines w:val="0"/>
      </w:pPr>
      <w:r>
        <w:rPr>
          <w:rFonts w:ascii="Noto Sans" w:hAnsi="Noto Sans" w:eastAsia="Arial Unicode MS" w:cs="Noto Sans"/>
          <w:b w:val="0"/>
        </w:rPr>
        <w:t>13. Зв'язатися з нами</w:t>
      </w:r>
    </w:p>
    <w:p>
      <w:pPr>
        <w:keepLines w:val="0"/>
      </w:pPr>
      <w:r>
        <w:rPr>
          <w:rFonts w:ascii="Noto Sans" w:hAnsi="Noto Sans" w:eastAsia="Arial Unicode MS" w:cs="Noto Sans"/>
          <w:b w:val="0"/>
        </w:rPr>
        <w:t xml:space="preserve">Загальна підтримка гравців: </w:t>
      </w:r>
      <w:hyperlink r:id="rId17">
        <w:r>
          <w:rPr>
            <w:rFonts w:ascii="Noto Sans" w:hAnsi="Noto Sans" w:eastAsia="Arial Unicode MS"/>
            <w:b w:val="0"/>
          </w:rPr>
          <w:t xml:space="preserve">support@dawnbloom.net</w:t>
        </w:r>
      </w:hyperlink>
      <w:r>
        <w:rPr>
          <w:rFonts w:ascii="Noto Sans" w:hAnsi="Noto Sans" w:eastAsia="Arial Unicode MS" w:cs="Noto Sans"/>
          <w:b w:val="0"/>
        </w:rPr>
        <w:t xml:space="preserve">; Юридичні, авторсько-правові та конфіденційні запити: </w:t>
      </w: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Вразливості безпеки та інциденти: </w:t>
      </w:r>
      <w:hyperlink r:id="rId19">
        <w:r>
          <w:rPr>
            <w:rFonts w:ascii="Noto Sans" w:hAnsi="Noto Sans" w:eastAsia="Arial Unicode MS"/>
            <w:b w:val="0"/>
          </w:rPr>
          <w:t xml:space="preserve">security@dawnbloom.net</w:t>
        </w:r>
      </w:hyperlink>
      <w:r>
        <w:rPr>
          <w:rFonts w:ascii="Noto Sans" w:hAnsi="Noto Sans" w:eastAsia="Arial Unicode MS" w:cs="Noto Sans"/>
          <w:b w:val="0"/>
        </w:rPr>
        <w:t xml:space="preserve">; Медійна та бізнес-співпраця: </w:t>
      </w:r>
      <w:hyperlink r:id="rId20">
        <w:r>
          <w:rPr>
            <w:rFonts w:ascii="Noto Sans" w:hAnsi="Noto Sans" w:eastAsia="Arial Unicode MS"/>
            <w:b w:val="0"/>
          </w:rPr>
          <w:t xml:space="preserve">contact@dawnbloom.net</w:t>
        </w:r>
      </w:hyperlink>
    </w:p>
    <w:p>
      <w:pPr>
        <w:keepLines w:val="0"/>
      </w:pPr>
      <w:r>
        <w:rPr>
          <w:rFonts w:ascii="Noto Sans" w:hAnsi="Noto Sans" w:eastAsia="Arial Unicode MS" w:cs="Noto Sans"/>
          <w:b w:val="0"/>
        </w:rPr>
        <w:t>Офіційні домени та регіональні входи ідентифіковано в розділі 1; наявні домени захисту бренду перелічені в поточному Офіційному Каналі та Повідомленні про Антишахрайство. Обліковий запис DAWNBLOOM та DAWNBLOOM Community залишаються частиною тієї ж послуги, а офіційні електронні адреси використовують @dawnbloom.net.</w:t>
      </w:r>
    </w:p>
    <w:p>
      <w:pPr>
        <w:keepLines w:val="0"/>
      </w:pPr>
      <w:r>
        <w:rPr>
          <w:rFonts w:ascii="Noto Sans" w:hAnsi="Noto Sans" w:eastAsia="Arial Unicode MS" w:cs="Noto Sans"/>
          <w:b w:val="0"/>
        </w:rPr>
        <w:t>Оператор / постачальник послуг вебсайту: Shanghai Zhuiguang Zhichuang Culture Media Co., Ltd. (Англійська публічна назва: SHANGHAI LUMIREALM CREATIVE MEDIA CO., LTD.)</w:t>
      </w:r>
    </w:p>
    <w:p>
      <w:pPr>
        <w:keepLines w:val="0"/>
      </w:pPr>
      <w:r>
        <w:rPr>
          <w:rFonts w:ascii="Noto Sans" w:hAnsi="Noto Sans" w:eastAsia="Arial Unicode MS" w:cs="Noto Sans"/>
          <w:b w:val="0"/>
        </w:rPr>
        <w:t>Адреса діяльності / офіційна контактна адреса: Кімната 218, Будівля 3, № 336 вулиця Тяньцзяо, Спеціальна зона Лінган Пілотної Зони Вільної Торгівлі Китаю (Шанхай), Китай</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https://dawnbloom.com.cn" TargetMode="External"/><Relationship Id="rId13" Type="http://schemas.openxmlformats.org/officeDocument/2006/relationships/hyperlink" Target="https://dawnbloom.net/zh/" TargetMode="External"/><Relationship Id="rId14" Type="http://schemas.openxmlformats.org/officeDocument/2006/relationships/hyperlink" Target="https://dawnbloom.jp" TargetMode="External"/><Relationship Id="rId15" Type="http://schemas.openxmlformats.org/officeDocument/2006/relationships/hyperlink" Target="https://dawnbloom.net/ja/" TargetMode="External"/><Relationship Id="rId16" Type="http://schemas.openxmlformats.org/officeDocument/2006/relationships/hyperlink" Target="https://dawnbloom.net/kr/." TargetMode="External"/><Relationship Id="rId17" Type="http://schemas.openxmlformats.org/officeDocument/2006/relationships/hyperlink" Target="mailto:support@dawnbloom.net" TargetMode="External"/><Relationship Id="rId18" Type="http://schemas.openxmlformats.org/officeDocument/2006/relationships/hyperlink" Target="mailto:legal@dawnbloom.net" TargetMode="External"/><Relationship Id="rId19" Type="http://schemas.openxmlformats.org/officeDocument/2006/relationships/hyperlink" Target="mailto:security@dawnbloom.net" TargetMode="External"/><Relationship Id="rId20" Type="http://schemas.openxmlformats.org/officeDocument/2006/relationships/hyperlink" Target="mailto:contact@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Юридична інформація та застереження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