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Умови використання DAWNBLOOM AI</w:t>
      </w:r>
    </w:p>
    <w:p>
      <w:pPr>
        <w:keepLines w:val="0"/>
      </w:pPr>
      <w:r>
        <w:rPr>
          <w:rFonts w:ascii="Noto Sans" w:hAnsi="Noto Sans" w:eastAsia="Noto Sans TC" w:cs="Noto Sans"/>
          <w:b w:val="0"/>
        </w:rPr>
        <w:t>Версія: V8</w:t>
      </w:r>
    </w:p>
    <w:p>
      <w:pPr>
        <w:keepLines w:val="0"/>
      </w:pPr>
      <w:r>
        <w:rPr>
          <w:rFonts w:ascii="Noto Sans" w:hAnsi="Noto Sans" w:eastAsia="Noto Sans TC" w:cs="Noto Sans"/>
          <w:b w:val="0"/>
        </w:rPr>
        <w:t>Дата перегляду: 10 жовтня 2026 року</w:t>
      </w:r>
    </w:p>
    <w:p>
      <w:pPr>
        <w:keepLines w:val="0"/>
      </w:pPr>
      <w:r>
        <w:rPr>
          <w:rFonts w:ascii="Noto Sans" w:hAnsi="Noto Sans" w:eastAsia="Noto Sans TC" w:cs="Noto Sans"/>
          <w:b w:val="0"/>
        </w:rPr>
        <w:t>Дата набрання чинності: 10 жовтня 2026 року</w:t>
      </w:r>
    </w:p>
    <w:p>
      <w:pPr>
        <w:keepLines w:val="0"/>
      </w:pPr>
      <w:r>
        <w:rPr>
          <w:rFonts w:ascii="Noto Sans" w:hAnsi="Noto Sans" w:eastAsia="Noto Sans TC" w:cs="Noto Sans"/>
          <w:b w:val="0"/>
        </w:rPr>
        <w:t>Надавач послуг: 上海追光智创文化传媒有限公司</w:t>
      </w:r>
    </w:p>
    <w:p>
      <w:pPr>
        <w:pStyle w:val="Heading1"/>
        <w:keepLines w:val="0"/>
      </w:pPr>
      <w:r>
        <w:rPr>
          <w:rFonts w:ascii="Noto Sans" w:hAnsi="Noto Sans" w:eastAsia="Noto Sans TC" w:cs="Noto Sans"/>
          <w:b w:val="0"/>
        </w:rPr>
        <w:t>1. Надавач послуг, назви та сфера застосування</w:t>
      </w:r>
    </w:p>
    <w:p>
      <w:pPr>
        <w:keepLines w:val="0"/>
      </w:pPr>
      <w:r>
        <w:rPr>
          <w:rFonts w:ascii="Noto Sans" w:hAnsi="Noto Sans" w:eastAsia="Noto Sans TC" w:cs="Noto Sans"/>
          <w:b w:val="0"/>
        </w:rPr>
        <w:t>Цю послугу надає 上海追光智创文化传媒有限公司. DAWNBLOOM AI — бренд системи інтелектуальної взаємодії та технічних послуг нашої компанії, а DAWNBLOOM Fairy — інтелектуальний помічник та інтерактивний образ для користувачів у межах тієї самої системи послуг. DAWNBLOOM AI 2.0 позначає публічну версію цієї системи інтелектуальних послуг і не означає, що наша компанія самостійно навчила базову велику мовну модель. Ці Умови застосовуються разом з Умовами надання послуг DAWNBLOOM, Політикою конфіденційності, Правилами для гравців та іншими застосовними політиками; ці Умови регулюють лише питання, специфічні для інтелектуальних послуг, і не звужують установлених законом прав.</w:t>
      </w:r>
    </w:p>
    <w:p>
      <w:pPr>
        <w:pStyle w:val="Heading1"/>
        <w:keepLines w:val="0"/>
      </w:pPr>
      <w:r>
        <w:rPr>
          <w:rFonts w:ascii="Noto Sans" w:hAnsi="Noto Sans" w:eastAsia="Noto Sans TC" w:cs="Noto Sans"/>
          <w:b w:val="0"/>
        </w:rPr>
        <w:t>2. Зміст послуг і мовні межі</w:t>
      </w:r>
    </w:p>
    <w:p>
      <w:pPr>
        <w:keepLines w:val="0"/>
      </w:pPr>
      <w:r>
        <w:rPr>
          <w:rFonts w:ascii="Noto Sans" w:hAnsi="Noto Sans" w:eastAsia="Noto Sans TC" w:cs="Noto Sans"/>
          <w:b w:val="0"/>
        </w:rPr>
        <w:t>Послуги обмежуються відповідями на запитання щодо загальнодоступних відомостей про гру та продукти, текстовим спілкуванням природною мовою, допомогою гравцям у зверненні до служб обслуговування та фактично доступними можливостями інтерфейсу Intelligent UI; підтримка мов на офіційному сайті не розширює мовного охоплення ігрового клієнта або кожного з шести програмних продуктів. Наразі не надаються послуги генерування чи редагування зображень, створення PDF, Word, презентацій, електронних таблиць або загальної автоматизації офісної роботи. Версію для офіційного сайту включено до системи 20 мов офіційного сайту; у грі й надалі доступні лише чотири мови: китайська, англійська, японська та корейська. Підтримка певної мови не означає надання цією мовою підтримки працівниками служби обслуговування або професійних юридичних консультацій.</w:t>
      </w:r>
    </w:p>
    <w:p>
      <w:pPr>
        <w:pStyle w:val="Heading1"/>
        <w:keepLines w:val="0"/>
      </w:pPr>
      <w:r>
        <w:rPr>
          <w:rFonts w:ascii="Noto Sans" w:hAnsi="Noto Sans" w:eastAsia="Noto Sans TC" w:cs="Noto Sans"/>
          <w:b w:val="0"/>
        </w:rPr>
        <w:t>3. Загальнодоступні відомості та захищена інформація</w:t>
      </w:r>
    </w:p>
    <w:p>
      <w:pPr>
        <w:keepLines w:val="0"/>
      </w:pPr>
      <w:r>
        <w:rPr>
          <w:rFonts w:ascii="Noto Sans" w:hAnsi="Noto Sans" w:eastAsia="Noto Sans TC" w:cs="Noto Sans"/>
          <w:b w:val="0"/>
        </w:rPr>
        <w:t>Відповіді на запитання обмежуються матеріалами про гру, продукти та підтримку, оприлюдненими з належного дозволу. Неоприлюднені сюжетні відомості, завдання, карти, ймовірності, формули, внутрішні проєктні матеріали, інформація GM, заходи безпеки та матеріали щодо використання вразливостей не надаються користувачам. Заборонено використовувати запитання й відповіді для отримання захищених матеріалів.</w:t>
      </w:r>
    </w:p>
    <w:p>
      <w:pPr>
        <w:pStyle w:val="Heading1"/>
        <w:keepLines w:val="0"/>
      </w:pPr>
      <w:r>
        <w:rPr>
          <w:rFonts w:ascii="Noto Sans" w:hAnsi="Noto Sans" w:eastAsia="Noto Sans TC" w:cs="Noto Sans"/>
          <w:b w:val="0"/>
        </w:rPr>
        <w:t>4. Intelligent UI та підтвердження користувача</w:t>
      </w:r>
    </w:p>
    <w:p>
      <w:pPr>
        <w:keepLines w:val="0"/>
      </w:pPr>
      <w:r>
        <w:rPr>
          <w:rFonts w:ascii="Noto Sans" w:hAnsi="Noto Sans" w:eastAsia="Noto Sans TC" w:cs="Noto Sans"/>
          <w:b w:val="0"/>
        </w:rPr>
        <w:t>Intelligent UI поєднує відповіді з інтерактивними інформаційними картками, точками доступу до функцій та інтерфейсами підтвердження. Інформація про фантастичних істот, спорядження, предмети, особисті ігрові записи та безпеку облікового запису надається лише в межах доступної функції, за правомірним дозволом відповідної особи та після підтвердження особи й відповідних прав доступу серверною системою. Поява відповіді ШІ, картки чи кнопки не означає, що дію вже виконано; дії з підвищеною чутливістю мають проходити офіційну перевірку та необхідне підтвердження, а їхній результат визначається системою. Заборонено обходити систему прав доступу для зміни даних гравців або читання непублічної інформації інших осіб. Дані, чітко позначені як демонстраційні, не є особистими записами користувача й не підтверджують успішного виконання реального запиту чи дії.</w:t>
      </w:r>
    </w:p>
    <w:p>
      <w:pPr>
        <w:pStyle w:val="Heading1"/>
        <w:keepLines w:val="0"/>
      </w:pPr>
      <w:r>
        <w:rPr>
          <w:rFonts w:ascii="Noto Sans" w:hAnsi="Noto Sans" w:eastAsia="Noto Sans TC" w:cs="Noto Sans"/>
          <w:b w:val="0"/>
        </w:rPr>
        <w:t>5. Точність результатів і перевірка важливої інформації</w:t>
      </w:r>
    </w:p>
    <w:p>
      <w:pPr>
        <w:keepLines w:val="0"/>
      </w:pPr>
      <w:r>
        <w:rPr>
          <w:rFonts w:ascii="Noto Sans" w:hAnsi="Noto Sans" w:eastAsia="Noto Sans TC" w:cs="Noto Sans"/>
          <w:b w:val="0"/>
        </w:rPr>
        <w:t xml:space="preserve">Відповіді ШІ можуть містити помилки розуміння, пропуски або застарілу інформацію та не замінюють офіційних оголошень, правил гри, умов щодо товарів і повернення коштів, записів, перевірених за належним дозволом, або результатів перевірки працівниками. Користувачі повинні самостійно перевіряти важливу інформацію; про помилки можна повідомити або подати оскарження через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Рекомендації ШІ самі по собі не змінюють наявних прав користувачів або передбачених законом засобів правового захисту. ШІ не здійснює остаточного оцінювання юридичних, медичних, фінансових чи інших професійних питань.</w:t>
      </w:r>
    </w:p>
    <w:p>
      <w:pPr>
        <w:pStyle w:val="Heading1"/>
        <w:keepLines w:val="0"/>
      </w:pPr>
      <w:r>
        <w:rPr>
          <w:rFonts w:ascii="Noto Sans" w:hAnsi="Noto Sans" w:eastAsia="Noto Sans TC" w:cs="Noto Sans"/>
          <w:b w:val="0"/>
        </w:rPr>
        <w:t>6. Права та відповідальність щодо вхідних даних і результатів</w:t>
      </w:r>
    </w:p>
    <w:p>
      <w:pPr>
        <w:keepLines w:val="0"/>
      </w:pPr>
      <w:r>
        <w:rPr>
          <w:rFonts w:ascii="Noto Sans" w:hAnsi="Noto Sans" w:eastAsia="Noto Sans TC" w:cs="Noto Sans"/>
          <w:b w:val="0"/>
        </w:rPr>
        <w:t>Користувач повинен мати право надавати вхідний вміст і не повинен подавати інформацію, що порушує права інших осіб або закон. Користувач відповідає за правомірність використання й поширення результатів та за необхідну перевірку. Генерування відповіді нашою компанією не надає прав на твори, торговельні марки або персональні дані третіх осіб; ці Умови не виключають прав користувача на результати, які існують відповідно до закону, та інших установлених законом прав.</w:t>
      </w:r>
    </w:p>
    <w:p>
      <w:pPr>
        <w:pStyle w:val="Heading1"/>
        <w:keepLines w:val="0"/>
      </w:pPr>
      <w:r>
        <w:rPr>
          <w:rFonts w:ascii="Noto Sans" w:hAnsi="Noto Sans" w:eastAsia="Noto Sans TC" w:cs="Noto Sans"/>
          <w:b w:val="0"/>
        </w:rPr>
        <w:t>7. Безпечне використання та заборона зловживань</w:t>
      </w:r>
    </w:p>
    <w:p>
      <w:pPr>
        <w:keepLines w:val="0"/>
      </w:pPr>
      <w:r>
        <w:rPr>
          <w:rFonts w:ascii="Noto Sans" w:hAnsi="Noto Sans" w:eastAsia="Noto Sans TC" w:cs="Noto Sans"/>
          <w:b w:val="0"/>
        </w:rPr>
        <w:t>Заборонено здійснювати атаки, зловмисно надсилати масові запити, видавати себе за іншу особу, обходити CAPTCHA чи права доступу, подавати шкідливі інструкції, викрадати непублічний вміст або створювати неправдиві офіційні зобов’язання. Не надавайте паролі, повні одноразові коди підтвердження, платіжні паролі, токени та іншу чутливу інформацію, що не є необхідною.</w:t>
      </w:r>
    </w:p>
    <w:p>
      <w:pPr>
        <w:pStyle w:val="Heading1"/>
        <w:keepLines w:val="0"/>
      </w:pPr>
      <w:r>
        <w:rPr>
          <w:rFonts w:ascii="Noto Sans" w:hAnsi="Noto Sans" w:eastAsia="Noto Sans TC" w:cs="Noto Sans"/>
          <w:b w:val="0"/>
        </w:rPr>
        <w:t>8. Дані облікового запису та ігрові дії</w:t>
      </w:r>
    </w:p>
    <w:p>
      <w:pPr>
        <w:keepLines w:val="0"/>
      </w:pPr>
      <w:r>
        <w:rPr>
          <w:rFonts w:ascii="Noto Sans" w:hAnsi="Noto Sans" w:eastAsia="Noto Sans TC" w:cs="Noto Sans"/>
          <w:b w:val="0"/>
        </w:rPr>
        <w:t>Перегляд особистих фантастичних істот, спорядження, предметів, активів і записів допускається лише в межах правомірного дозволу відповідної особи та перевірки серверною системою. ШІ не отримує повноважень GM і безпосередньо не змінює активів, санкцій або офіційних ігрових механік; відновлення, спори та оскарження перевіряються за офіційними процедурами.</w:t>
      </w:r>
    </w:p>
    <w:p>
      <w:pPr>
        <w:pStyle w:val="Heading1"/>
        <w:keepLines w:val="0"/>
      </w:pPr>
      <w:r>
        <w:rPr>
          <w:rFonts w:ascii="Noto Sans" w:hAnsi="Noto Sans" w:eastAsia="Noto Sans TC" w:cs="Noto Sans"/>
          <w:b w:val="0"/>
        </w:rPr>
        <w:t>9. Неповнолітні</w:t>
      </w:r>
    </w:p>
    <w:p>
      <w:pPr>
        <w:keepLines w:val="0"/>
      </w:pPr>
      <w:r>
        <w:rPr>
          <w:rFonts w:ascii="Noto Sans" w:hAnsi="Noto Sans" w:eastAsia="Noto Sans TC" w:cs="Noto Sans"/>
          <w:b w:val="0"/>
        </w:rPr>
        <w:t>До облікових записів та ігрових послуг і надалі застосовується чинна вимога щодо досягнення 18 років, яка не пом’якшується через послуги ШІ. Доступ до загальнодоступних матеріалів не означає дозволу реєструвати або використовувати ігровий обліковий запис. У разі обробки інформації про неповнолітніх дотримуються застосовні вимоги щодо захисту; спілкування з ШІ не замінює згоди законного представника або перевірки, яких вимагає закон.</w:t>
      </w:r>
    </w:p>
    <w:p>
      <w:pPr>
        <w:pStyle w:val="Heading1"/>
        <w:keepLines w:val="0"/>
      </w:pPr>
      <w:r>
        <w:rPr>
          <w:rFonts w:ascii="Noto Sans" w:hAnsi="Noto Sans" w:eastAsia="Noto Sans TC" w:cs="Noto Sans"/>
          <w:b w:val="0"/>
        </w:rPr>
        <w:t>10. Моделі третіх осіб та обробка даних</w:t>
      </w:r>
    </w:p>
    <w:p>
      <w:pPr>
        <w:keepLines w:val="0"/>
      </w:pPr>
      <w:r>
        <w:rPr>
          <w:rFonts w:ascii="Noto Sans" w:hAnsi="Noto Sans" w:eastAsia="Noto Sans TC" w:cs="Noto Sans"/>
          <w:b w:val="0"/>
        </w:rPr>
        <w:t>Технічна інтеграція використовує можливості Qwen від Alibaba Cloud Model Studio; для підключення до моделі використовується кінцева точка регіону Токіо, Японія. Регіон розташування кінцевої точки не означає, що всі дані користувачів обробляються лише в Японії, і не замінює перевірки фактичних договорів про надання послуг, журналів постачальника, засобів контролю навчання, налаштувань зберігання та зобов’язань щодо транскордонної передачі. OpenAI Codex бере участь у створенні системи знань, розробленні функцій, проєктуванні взаємодії та постійному вдосконаленні; це не надає йому автоматичного доступу до даних чатів користувачів і не означає, що він навчав базову модель Qwen. Конкретні правила щодо вхідних даних, контексту, журналів послуг, зберігання та контролю навчання визначаються чинною «Політикою конфіденційності DAWNBLOOM», застосовними конкретними повідомленнями та фактичними договорами про надання послуг. Спеціальне повідомлення про конфіденційність ШІ ще перевіряється; ці Умови не замінюють підтвердження фактичних обставин обробки даних. Відповідні моделі або обробка персональних даних не стають доступними до завершення необхідного інформування, отримання дозволів та перевірки безпеки.</w:t>
      </w:r>
    </w:p>
    <w:p>
      <w:pPr>
        <w:pStyle w:val="Heading1"/>
        <w:keepLines w:val="0"/>
      </w:pPr>
      <w:r>
        <w:rPr>
          <w:rFonts w:ascii="Noto Sans" w:hAnsi="Noto Sans" w:eastAsia="Noto Sans TC" w:cs="Noto Sans"/>
          <w:b w:val="0"/>
        </w:rPr>
        <w:t>11. Доступність, збої та зміни послуг</w:t>
      </w:r>
    </w:p>
    <w:p>
      <w:pPr>
        <w:keepLines w:val="0"/>
      </w:pPr>
      <w:r>
        <w:rPr>
          <w:rFonts w:ascii="Noto Sans" w:hAnsi="Noto Sans" w:eastAsia="Noto Sans TC" w:cs="Noto Sans"/>
          <w:b w:val="0"/>
        </w:rPr>
        <w:t>Фактичні функції визначаються доступними точками входу та офіційним станом послуг. Технічне обслуговування, збої, інциденти безпеки, обмеження потужності або проблеми постачальника можуть обмежувати частину послуг; ми вживаємо необхідних заходів і повідомляємо про істотні зміни належними каналами. Припинення запитів до моделі не означає видалення облікового запису; наявні права, пов’язані з покупками, та передбачені законом засоби правового захисту не втрачають чинності автоматично через обмеження функцій ШІ.</w:t>
      </w:r>
    </w:p>
    <w:p>
      <w:pPr>
        <w:pStyle w:val="Heading1"/>
        <w:keepLines w:val="0"/>
      </w:pPr>
      <w:r>
        <w:rPr>
          <w:rFonts w:ascii="Noto Sans" w:hAnsi="Noto Sans" w:eastAsia="Noto Sans TC" w:cs="Noto Sans"/>
          <w:b w:val="0"/>
        </w:rPr>
        <w:t>12. Заходи у разі порушень, оскарження та виправлення помилок</w:t>
      </w:r>
    </w:p>
    <w:p>
      <w:pPr>
        <w:keepLines w:val="0"/>
      </w:pPr>
      <w:r>
        <w:rPr>
          <w:rFonts w:ascii="Noto Sans" w:hAnsi="Noto Sans" w:eastAsia="Noto Sans TC" w:cs="Noto Sans"/>
          <w:b w:val="0"/>
        </w:rPr>
        <w:t>Залежно від фактичного ризику можуть застосовуватися обмеження частоти запитів, призупинення відповідних інтелектуальних функцій або заходи, передбачені Правилами для гравців, із наданням офіційного каналу оскарження. Для запиту на виправлення користувач може надати конкретну відповідь, час запитання та необхідні матеріали для перевірки; приховайте персональну інформацію, що не стосується питання. Відповідь ШІ сама по собі не є рішенням про застосування санкції.</w:t>
      </w:r>
    </w:p>
    <w:p>
      <w:pPr>
        <w:pStyle w:val="Heading1"/>
        <w:keepLines w:val="0"/>
      </w:pPr>
      <w:r>
        <w:rPr>
          <w:rFonts w:ascii="Noto Sans" w:hAnsi="Noto Sans" w:eastAsia="Noto Sans TC" w:cs="Noto Sans"/>
          <w:b w:val="0"/>
        </w:rPr>
        <w:t>13. Припинення використання та права щодо даних</w:t>
      </w:r>
    </w:p>
    <w:p>
      <w:pPr>
        <w:keepLines w:val="0"/>
      </w:pPr>
      <w:r>
        <w:rPr>
          <w:rFonts w:ascii="Noto Sans" w:hAnsi="Noto Sans" w:eastAsia="Noto Sans TC" w:cs="Noto Sans"/>
          <w:b w:val="0"/>
        </w:rPr>
        <w:t xml:space="preserve">Користувач може припинити спілкування, відкликати згоду, яку закон дозволяє відкликати, очистити локальну історію чатів, а також через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або офіційну службу підтримки подати запити на доступ, виправлення, видалення, обмеження обробки та скарги. Очищення локальних записів не призводить до автоматичного видалення журналів послуг, звернень або записів третіх осіб, що зберігаються відповідно до закону; подальша обробка здійснюється з урахуванням фактичних категорій даних, установлених законом обов’язків, безпеки та потреб, пов’язаних із невирішеними спорами, і не впливає на наявні права. Припинення використання не позбавляє чинності наявні скарги, запити на повернення коштів, запити щодо конфіденційності або передбачені законом засоби правового захисту.</w:t>
      </w:r>
    </w:p>
    <w:p>
      <w:pPr>
        <w:pStyle w:val="Heading1"/>
        <w:keepLines w:val="0"/>
      </w:pPr>
      <w:r>
        <w:rPr>
          <w:rFonts w:ascii="Noto Sans" w:hAnsi="Noto Sans" w:eastAsia="Noto Sans TC" w:cs="Noto Sans"/>
          <w:b w:val="0"/>
        </w:rPr>
        <w:t>14. Оновлення, скарги та контакти</w:t>
      </w:r>
    </w:p>
    <w:p>
      <w:pPr>
        <w:keepLines w:val="0"/>
      </w:pPr>
      <w:r>
        <w:rPr>
          <w:rFonts w:ascii="Noto Sans" w:hAnsi="Noto Sans" w:eastAsia="Noto Sans TC" w:cs="Noto Sans"/>
          <w:b w:val="0"/>
        </w:rPr>
        <w:t xml:space="preserve">Про істотні зміни умов або обробки повідомляється відповідно до застосовного законодавства з виконанням необхідних процедур; такі зміни не звужують заднім числом уже набуті законні права. Правові питання та права щодо даних: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підтримка та виправлення помилок: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інциденти безпеки: </w:t>
      </w:r>
      <w:hyperlink r:id="rId13">
        <w:r>
          <w:rPr>
            <w:rFonts w:ascii="Noto Sans" w:hAnsi="Noto Sans" w:eastAsia="Noto Sans TC"/>
            <w:b w:val="0"/>
          </w:rPr>
          <w:t xml:space="preserve">security@dawnbloom.net</w:t>
        </w:r>
      </w:hyperlink>
      <w:r>
        <w:rPr>
          <w:rFonts w:ascii="Noto Sans" w:hAnsi="Noto Sans" w:eastAsia="Noto Sans TC" w:cs="Noto Sans"/>
          <w:b w:val="0"/>
        </w:rPr>
        <w:t xml:space="preserve">. Юридична контактна адреса залишається тією, що зазначена в офіційній юридичній інформації.</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Умови використання DAWNBLOOM AI</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