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 AI Kullanım Koşulları</w:t>
      </w:r>
    </w:p>
    <w:p>
      <w:pPr>
        <w:keepLines w:val="0"/>
      </w:pPr>
      <w:r>
        <w:rPr>
          <w:rFonts w:ascii="Noto Sans" w:hAnsi="Noto Sans" w:eastAsia="Noto Sans TC" w:cs="Noto Sans"/>
          <w:b w:val="0"/>
        </w:rPr>
        <w:t>Sürüm: V8</w:t>
      </w:r>
    </w:p>
    <w:p>
      <w:pPr>
        <w:keepLines w:val="0"/>
      </w:pPr>
      <w:r>
        <w:rPr>
          <w:rFonts w:ascii="Noto Sans" w:hAnsi="Noto Sans" w:eastAsia="Noto Sans TC" w:cs="Noto Sans"/>
          <w:b w:val="0"/>
        </w:rPr>
        <w:t>Revizyon tarihi: 10 Ekim 2026</w:t>
      </w:r>
    </w:p>
    <w:p>
      <w:pPr>
        <w:keepLines w:val="0"/>
      </w:pPr>
      <w:r>
        <w:rPr>
          <w:rFonts w:ascii="Noto Sans" w:hAnsi="Noto Sans" w:eastAsia="Noto Sans TC" w:cs="Noto Sans"/>
          <w:b w:val="0"/>
        </w:rPr>
        <w:t>Yürürlük tarihi: 10 Ekim 2026</w:t>
      </w:r>
    </w:p>
    <w:p>
      <w:pPr>
        <w:keepLines w:val="0"/>
      </w:pPr>
      <w:r>
        <w:rPr>
          <w:rFonts w:ascii="Noto Sans" w:hAnsi="Noto Sans" w:eastAsia="Noto Sans TC" w:cs="Noto Sans"/>
          <w:b w:val="0"/>
        </w:rPr>
        <w:t>Hizmet sağlayıcı: 上海追光智创文化传媒有限公司</w:t>
      </w:r>
    </w:p>
    <w:p>
      <w:pPr>
        <w:pStyle w:val="Heading1"/>
        <w:keepLines w:val="0"/>
      </w:pPr>
      <w:r>
        <w:rPr>
          <w:rFonts w:ascii="Noto Sans" w:hAnsi="Noto Sans" w:eastAsia="Noto Sans TC" w:cs="Noto Sans"/>
          <w:b w:val="0"/>
        </w:rPr>
        <w:t>1. Hizmet sağlayıcı, adlandırma ve uygulama kapsamı</w:t>
      </w:r>
    </w:p>
    <w:p>
      <w:pPr>
        <w:keepLines w:val="0"/>
      </w:pPr>
      <w:r>
        <w:rPr>
          <w:rFonts w:ascii="Noto Sans" w:hAnsi="Noto Sans" w:eastAsia="Noto Sans TC" w:cs="Noto Sans"/>
          <w:b w:val="0"/>
        </w:rPr>
        <w:t>Bu hizmet 上海追光智创文化传媒有限公司 tarafından sağlanır. DAWNBLOOM AI, şirketimizin akıllı etkileşim sistemi ve teknoloji hizmetleri markasıdır; DAWNBLOOM Fairy ise aynı hizmet sistemi içinde kullanıcılara sunulan akıllı yardımcı ve etkileşim karakteridir. DAWNBLOOM AI 2.0, bu akıllı hizmet sisteminin kamuya sunulan sürümünü ifade eder; şirketimizin temel büyük dil modelini bağımsız olarak eğittiği anlamına gelmez. Bu koşullar, DAWNBLOOM Hizmet Koşulları, Gizlilik Politikası, Oyuncu Kuralları ve diğer geçerli politikalarla birlikte uygulanır; yalnızca akıllı hizmetlere özgü konuları düzenler ve kanuni hakları azaltmaz.</w:t>
      </w:r>
    </w:p>
    <w:p>
      <w:pPr>
        <w:pStyle w:val="Heading1"/>
        <w:keepLines w:val="0"/>
      </w:pPr>
      <w:r>
        <w:rPr>
          <w:rFonts w:ascii="Noto Sans" w:hAnsi="Noto Sans" w:eastAsia="Noto Sans TC" w:cs="Noto Sans"/>
          <w:b w:val="0"/>
        </w:rPr>
        <w:t>2. Hizmet içeriği ve dil sınırları</w:t>
      </w:r>
    </w:p>
    <w:p>
      <w:pPr>
        <w:keepLines w:val="0"/>
      </w:pPr>
      <w:r>
        <w:rPr>
          <w:rFonts w:ascii="Noto Sans" w:hAnsi="Noto Sans" w:eastAsia="Noto Sans TC" w:cs="Noto Sans"/>
          <w:b w:val="0"/>
        </w:rPr>
        <w:t>Hizmet; kamuya açık oyun ve ürün bilgilerine ilişkin soru-cevap, doğal dilde metin iletişimi, oyuncu hizmetlerine yönlendirme ve fiilen kullanıma açılmış Intelligent UI arayüz özellikleriyle sınırlıdır. Resmî web sitesinin dil desteği, oyun istemcisinin veya altı yazılımın her birinin dil kapsamını genişletmez. Şu anda görsel oluşturma veya düzenleme, PDF, Word, sunum ya da elektronik tablo hazırlama ve genel ofis otomasyonu sunulmamaktadır. Web sitesi sürümü, resmî web sitesinin 20 dilli yapısına dahildir; oyun içindeki destek ise Çince, İngilizce, Japonca ve Korece olmak üzere dört dille sınırlı kalır. Bir dilin desteklenmesi, o dilde insan müşteri desteği veya profesyonel hukuki görüş sunulduğu anlamına gelmez.</w:t>
      </w:r>
    </w:p>
    <w:p>
      <w:pPr>
        <w:pStyle w:val="Heading1"/>
        <w:keepLines w:val="0"/>
      </w:pPr>
      <w:r>
        <w:rPr>
          <w:rFonts w:ascii="Noto Sans" w:hAnsi="Noto Sans" w:eastAsia="Noto Sans TC" w:cs="Noto Sans"/>
          <w:b w:val="0"/>
        </w:rPr>
        <w:t>3. Kamuya açık bilgiler ve korunan bilgiler</w:t>
      </w:r>
    </w:p>
    <w:p>
      <w:pPr>
        <w:keepLines w:val="0"/>
      </w:pPr>
      <w:r>
        <w:rPr>
          <w:rFonts w:ascii="Noto Sans" w:hAnsi="Noto Sans" w:eastAsia="Noto Sans TC" w:cs="Noto Sans"/>
          <w:b w:val="0"/>
        </w:rPr>
        <w:t>Bilgiye ilişkin soru-cevap hizmeti, yayımlanmasına izin verilmiş oyun, ürün ve müşteri hizmetleri materyalleriyle sınırlıdır. Yayımlanmamış hikâye, görev, harita, olasılık, formül, şirket içi tasarım ve planlama, GM bilgileri, güvenlik önlemleri ve güvenlik açıklarından yararlanmaya ilişkin materyaller kullanıcılara açılmaz. Korunan materyalleri elde etmek için soru-cevap hizmeti kullanılamaz.</w:t>
      </w:r>
    </w:p>
    <w:p>
      <w:pPr>
        <w:pStyle w:val="Heading1"/>
        <w:keepLines w:val="0"/>
      </w:pPr>
      <w:r>
        <w:rPr>
          <w:rFonts w:ascii="Noto Sans" w:hAnsi="Noto Sans" w:eastAsia="Noto Sans TC" w:cs="Noto Sans"/>
          <w:b w:val="0"/>
        </w:rPr>
        <w:t>4. Intelligent UI ve kullanıcı onayı</w:t>
      </w:r>
    </w:p>
    <w:p>
      <w:pPr>
        <w:keepLines w:val="0"/>
      </w:pPr>
      <w:r>
        <w:rPr>
          <w:rFonts w:ascii="Noto Sans" w:hAnsi="Noto Sans" w:eastAsia="Noto Sans TC" w:cs="Noto Sans"/>
          <w:b w:val="0"/>
        </w:rPr>
        <w:t>Intelligent UI, yanıtları etkileşimli bilgi kartları, işlev girişleri ve onay ekranlarıyla birleştirir. Fantastik yaratıklar, ekipmanlar, eşyalar, kişisel oyun kayıtları ve hesap güvenliği bilgileri yalnızca ilgili işlev kullanıma açılmışsa, ilgili kişi hukuka uygun biçimde yetki vermişse ve arka uç sistemi kimliği ve ilgili izinleri doğrulamışsa, bu kapsam dahilinde sunulur. Bir AI yanıtının, kartın veya düğmenin görünmesi, işlemin gerçekleştirildiği anlamına gelmez. Hassas işlemler resmî doğrulama ve gerekli onay aşamalarından geçmelidir; sistem sonucu esas alınır. Oyuncu verilerini değiştirmek veya başkalarının kamuya açık olmayan bilgilerini okumak için izin sistemi aşılamaz. Açıkça gösterim verisi olarak işaretlenen veriler, kişinin kendi kayıtları değildir ve gerçek bir sorgunun veya işlemin başarıyla tamamlandığını kanıtlamaz.</w:t>
      </w:r>
    </w:p>
    <w:p>
      <w:pPr>
        <w:pStyle w:val="Heading1"/>
        <w:keepLines w:val="0"/>
      </w:pPr>
      <w:r>
        <w:rPr>
          <w:rFonts w:ascii="Noto Sans" w:hAnsi="Noto Sans" w:eastAsia="Noto Sans TC" w:cs="Noto Sans"/>
          <w:b w:val="0"/>
        </w:rPr>
        <w:t>5. Çıktı doğruluğu ve önemli bilgilerin doğrulanması</w:t>
      </w:r>
    </w:p>
    <w:p>
      <w:pPr>
        <w:keepLines w:val="0"/>
      </w:pPr>
      <w:r>
        <w:rPr>
          <w:rFonts w:ascii="Noto Sans" w:hAnsi="Noto Sans" w:eastAsia="Noto Sans TC" w:cs="Noto Sans"/>
          <w:b w:val="0"/>
        </w:rPr>
        <w:t xml:space="preserve">AI yanıtlarında yanlış anlama, eksiklik veya bilgi gecikmesi bulunabilir. Bu yanıtlar resmî duyuruların, oyun kurallarının, ürün ve iade koşullarının, yetkili doğrulamadan geçmiş kayıtların veya insan tarafından yapılan inceleme sonuçlarının yerine geçmez. Kullanıcılar önemli bilgileri bağımsız olarak doğrulamalıdır; hataları bildirmek veya itiraz başvurusunda bulunmak için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adresini kullanabilirler. AI önerileri, mevcut kullanıcı haklarını veya kanuni başvuru yollarını kendiliğinden değiştirmez. AI; hukuk, tıp, finans veya diğer uzmanlık konularında nihai değerlendirme yapmaz.</w:t>
      </w:r>
    </w:p>
    <w:p>
      <w:pPr>
        <w:pStyle w:val="Heading1"/>
        <w:keepLines w:val="0"/>
      </w:pPr>
      <w:r>
        <w:rPr>
          <w:rFonts w:ascii="Noto Sans" w:hAnsi="Noto Sans" w:eastAsia="Noto Sans TC" w:cs="Noto Sans"/>
          <w:b w:val="0"/>
        </w:rPr>
        <w:t>6. Girdi ve çıktılara ilişkin hak ve sorumluluklar</w:t>
      </w:r>
    </w:p>
    <w:p>
      <w:pPr>
        <w:keepLines w:val="0"/>
      </w:pPr>
      <w:r>
        <w:rPr>
          <w:rFonts w:ascii="Noto Sans" w:hAnsi="Noto Sans" w:eastAsia="Noto Sans TC" w:cs="Noto Sans"/>
          <w:b w:val="0"/>
        </w:rPr>
        <w:t>Kullanıcı, sunduğu girdi içeriğini sağlama hakkına sahip olmalı ve başkalarının haklarını ihlal eden veya hukuka aykırı bilgiler sunmamalıdır. Kullanıcı, çıktıları kullanmanın ve yaymanın hukuka uygunluğundan ve gerekli doğrulamaları yapmaktan sorumludur. Şirketimiz, yanıt oluşturmakla üçüncü kişilere ait eserler, markalar veya kişisel veriler üzerinde hak tanımaz. Çıktılar üzerinde hukuken mevcut kullanıcı hakları ve diğer kanuni haklar bu koşullarla ortadan kaldırılmaz.</w:t>
      </w:r>
    </w:p>
    <w:p>
      <w:pPr>
        <w:pStyle w:val="Heading1"/>
        <w:keepLines w:val="0"/>
      </w:pPr>
      <w:r>
        <w:rPr>
          <w:rFonts w:ascii="Noto Sans" w:hAnsi="Noto Sans" w:eastAsia="Noto Sans TC" w:cs="Noto Sans"/>
          <w:b w:val="0"/>
        </w:rPr>
        <w:t>7. Güvenli kullanım ve kötüye kullanım yasağı</w:t>
      </w:r>
    </w:p>
    <w:p>
      <w:pPr>
        <w:keepLines w:val="0"/>
      </w:pPr>
      <w:r>
        <w:rPr>
          <w:rFonts w:ascii="Noto Sans" w:hAnsi="Noto Sans" w:eastAsia="Noto Sans TC" w:cs="Noto Sans"/>
          <w:b w:val="0"/>
        </w:rPr>
        <w:t>Saldırı düzenlemek, kötü niyetli otomatik sorgulama yapmak, başkasının kimliğine bürünmek, doğrulama kodlarını veya izinleri aşmak, kötü amaçlı talimatlar göndermek, kamuya açık olmayan içerikleri çalmak veya sahte resmî taahhütler oluşturmak yasaktır. Lütfen parola, eksiksiz tek kullanımlık doğrulama kodu, ödeme parolası, token veya gereksiz diğer hassas bilgileri paylaşmayın.</w:t>
      </w:r>
    </w:p>
    <w:p>
      <w:pPr>
        <w:pStyle w:val="Heading1"/>
        <w:keepLines w:val="0"/>
      </w:pPr>
      <w:r>
        <w:rPr>
          <w:rFonts w:ascii="Noto Sans" w:hAnsi="Noto Sans" w:eastAsia="Noto Sans TC" w:cs="Noto Sans"/>
          <w:b w:val="0"/>
        </w:rPr>
        <w:t>8. Hesap bilgileri ve oyun işlemleri</w:t>
      </w:r>
    </w:p>
    <w:p>
      <w:pPr>
        <w:keepLines w:val="0"/>
      </w:pPr>
      <w:r>
        <w:rPr>
          <w:rFonts w:ascii="Noto Sans" w:hAnsi="Noto Sans" w:eastAsia="Noto Sans TC" w:cs="Noto Sans"/>
          <w:b w:val="0"/>
        </w:rPr>
        <w:t>Kişisel fantastik yaratıklar, ekipmanlar, eşyalar, varlıklar ve kayıtlar yalnızca ilgili kişinin hukuka uygun yetkilendirmesi ve arka uç doğrulaması kapsamında görüntülenebilir. AI, GM yetkileri edinmez; varlıkları, yaptırımları veya resmî oyun mekaniklerini doğrudan değiştirmez. Geri yükleme, uyuşmazlık ve itiraz konuları resmî süreçler üzerinden doğrulanır.</w:t>
      </w:r>
    </w:p>
    <w:p>
      <w:pPr>
        <w:pStyle w:val="Heading1"/>
        <w:keepLines w:val="0"/>
      </w:pPr>
      <w:r>
        <w:rPr>
          <w:rFonts w:ascii="Noto Sans" w:hAnsi="Noto Sans" w:eastAsia="Noto Sans TC" w:cs="Noto Sans"/>
          <w:b w:val="0"/>
        </w:rPr>
        <w:t>9. Reşit olmayanlar</w:t>
      </w:r>
    </w:p>
    <w:p>
      <w:pPr>
        <w:keepLines w:val="0"/>
      </w:pPr>
      <w:r>
        <w:rPr>
          <w:rFonts w:ascii="Noto Sans" w:hAnsi="Noto Sans" w:eastAsia="Noto Sans TC" w:cs="Noto Sans"/>
          <w:b w:val="0"/>
        </w:rPr>
        <w:t>Hesap ve oyun hizmetlerinde mevcut 18 yaşını doldurmuş olma şartı geçerliliğini korur ve AI hizmeti nedeniyle esnetilmez. Kamuya açık bilgilere erişim, oyun hesabı açma veya kullanma izni anlamına gelmez. Reşit olmayanların bilgileri söz konusu olduğunda geçerli koruma gerekliliklerine uyulur; AI sohbeti, kanunen gerekli olan veli veya vasi onayının ya da doğrulamasının yerine geçmez.</w:t>
      </w:r>
    </w:p>
    <w:p>
      <w:pPr>
        <w:pStyle w:val="Heading1"/>
        <w:keepLines w:val="0"/>
      </w:pPr>
      <w:r>
        <w:rPr>
          <w:rFonts w:ascii="Noto Sans" w:hAnsi="Noto Sans" w:eastAsia="Noto Sans TC" w:cs="Noto Sans"/>
          <w:b w:val="0"/>
        </w:rPr>
        <w:t>10. Üçüncü taraf modeller ve veri işleme</w:t>
      </w:r>
    </w:p>
    <w:p>
      <w:pPr>
        <w:keepLines w:val="0"/>
      </w:pPr>
      <w:r>
        <w:rPr>
          <w:rFonts w:ascii="Noto Sans" w:hAnsi="Noto Sans" w:eastAsia="Noto Sans TC" w:cs="Noto Sans"/>
          <w:b w:val="0"/>
        </w:rPr>
        <w:t>Teknik entegrasyonda Alibaba Cloud Model Studio tarafından sunulan Qwen özellikleri kullanılır; model bağlantısı Japonya'nın Tokyo bölgesindeki uç nokta üzerinden gerçekleştirilir. Uç noktanın bulunduğu bölge, tüm kullanıcı verilerinin yalnızca Japonya'da işlendiği anlamına gelmez ve fiilî hizmet sözleşmelerinin, sağlayıcı günlüklerinin, eğitim kontrollerinin, saklama ayarlarının ve sınır ötesi yükümlülüklerin doğrulanmasının yerine geçmez. OpenAI Codex; bilgi sisteminin oluşturulmasına, işlev geliştirmeye, etkileşim tasarımına ve sürekli iyileştirmeye katkıda bulunur. Bu katkı nedeniyle kullanıcı sohbet verilerini otomatik olarak edinmez ve Qwen temel modelini eğittiği anlamı da çıkmaz. Belirli girdiler, bağlam, hizmet günlükleri, saklama ve eğitim kontrolleri bakımından yürürlükteki DAWNBLOOM Gizlilik Politikası, geçerli özel bilgilendirmeler ve fiilî hizmet sözleşmeleri esas alınır. AI hizmetine özgü gizlilik açıklaması hâlen doğrulanmaktadır; bu koşullar, veri işleme olgularının teyidi yerine geçmez. Gerekli bilgilendirme, yetkilendirme ve güvenlik doğrulaması tamamlanmadan ilgili model kullanımı veya kişisel veri işleme kullanıma açılmaz.</w:t>
      </w:r>
    </w:p>
    <w:p>
      <w:pPr>
        <w:pStyle w:val="Heading1"/>
        <w:keepLines w:val="0"/>
      </w:pPr>
      <w:r>
        <w:rPr>
          <w:rFonts w:ascii="Noto Sans" w:hAnsi="Noto Sans" w:eastAsia="Noto Sans TC" w:cs="Noto Sans"/>
          <w:b w:val="0"/>
        </w:rPr>
        <w:t>11. Kullanılabilirlik, aksaklıklar ve hizmet değişiklikleri</w:t>
      </w:r>
    </w:p>
    <w:p>
      <w:pPr>
        <w:keepLines w:val="0"/>
      </w:pPr>
      <w:r>
        <w:rPr>
          <w:rFonts w:ascii="Noto Sans" w:hAnsi="Noto Sans" w:eastAsia="Noto Sans TC" w:cs="Noto Sans"/>
          <w:b w:val="0"/>
        </w:rPr>
        <w:t>Fiilî özellikler bakımından kullanıma açılmış girişler ve resmî hizmet durumu esas alınır. Bakım, arıza, güvenlik olayları, kapasite veya sağlayıcı kaynaklı aksaklıklar bazı hizmetleri sınırlayabilir. Gerekli ölçüde müdahale eder ve önemli değişiklikleri uygun kanallardan bildiririz. Model isteklerinin durdurulması, hesabın kapatılması anlamına gelmez; mevcut satın alma hakları ve kanuni başvuru yolları, AI özelliklerinin sınırlandırılması nedeniyle kendiliğinden geçersiz hâle gelmez.</w:t>
      </w:r>
    </w:p>
    <w:p>
      <w:pPr>
        <w:pStyle w:val="Heading1"/>
        <w:keepLines w:val="0"/>
      </w:pPr>
      <w:r>
        <w:rPr>
          <w:rFonts w:ascii="Noto Sans" w:hAnsi="Noto Sans" w:eastAsia="Noto Sans TC" w:cs="Noto Sans"/>
          <w:b w:val="0"/>
        </w:rPr>
        <w:t>12. İhlallere müdahale, itiraz ve düzeltme</w:t>
      </w:r>
    </w:p>
    <w:p>
      <w:pPr>
        <w:keepLines w:val="0"/>
      </w:pPr>
      <w:r>
        <w:rPr>
          <w:rFonts w:ascii="Noto Sans" w:hAnsi="Noto Sans" w:eastAsia="Noto Sans TC" w:cs="Noto Sans"/>
          <w:b w:val="0"/>
        </w:rPr>
        <w:t>Fiilî riske göre istek hızını sınırlama, ilgili akıllı özellikleri askıya alma veya Oyuncu Kuralları kapsamındaki önlemleri uygulama yoluna gidilebilir ve resmî itiraz kanalları sağlanır. Kullanıcılar belirli yanıtı, sorunun zamanını ve gerekli doğrulama materyallerini sunarak düzeltme talep edebilirler; lütfen konuyla ilgisiz kişisel bilgileri gizleyin. AI yanıtı tek başına bir yaptırım kararı oluşturmaz.</w:t>
      </w:r>
    </w:p>
    <w:p>
      <w:pPr>
        <w:pStyle w:val="Heading1"/>
        <w:keepLines w:val="0"/>
      </w:pPr>
      <w:r>
        <w:rPr>
          <w:rFonts w:ascii="Noto Sans" w:hAnsi="Noto Sans" w:eastAsia="Noto Sans TC" w:cs="Noto Sans"/>
          <w:b w:val="0"/>
        </w:rPr>
        <w:t>13. Kullanımı bırakma ve veri hakları</w:t>
      </w:r>
    </w:p>
    <w:p>
      <w:pPr>
        <w:keepLines w:val="0"/>
      </w:pPr>
      <w:r>
        <w:rPr>
          <w:rFonts w:ascii="Noto Sans" w:hAnsi="Noto Sans" w:eastAsia="Noto Sans TC" w:cs="Noto Sans"/>
          <w:b w:val="0"/>
        </w:rPr>
        <w:t xml:space="preserve">Kullanıcılar sohbeti durdurabilir, hukuken geri alınabilir rızalarını geri alabilir, yerel sohbet kayıtlarını temizleyebilir ve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veya resmî müşteri hizmetleri üzerinden sorgulama, düzeltme, silme, işlemeyi kısıtlama ve şikâyet taleplerinde bulunabilirler. Yerel kayıtların temizlenmesi, hukuka uygun biçimde saklanan hizmet günlüklerini, işlem destek kayıtlarını veya üçüncü taraf kayıtlarını otomatik olarak silmez. Sonraki işlemler; fiilî veri kategorileri, kanuni yükümlülükler, güvenlik ve sonuçlanmamış uyuşmazlıkların gerekleri doğrultusunda yürütülür ve mevcut hakları etkilemez. Kullanımı bırakmak, mevcut şikâyetleri, iade taleplerini, gizlilik taleplerini veya kanuni başvuru yollarını geçersiz kılmaz.</w:t>
      </w:r>
    </w:p>
    <w:p>
      <w:pPr>
        <w:pStyle w:val="Heading1"/>
        <w:keepLines w:val="0"/>
      </w:pPr>
      <w:r>
        <w:rPr>
          <w:rFonts w:ascii="Noto Sans" w:hAnsi="Noto Sans" w:eastAsia="Noto Sans TC" w:cs="Noto Sans"/>
          <w:b w:val="0"/>
        </w:rPr>
        <w:t>14. Güncellemeler, şikâyetler ve iletişim</w:t>
      </w:r>
    </w:p>
    <w:p>
      <w:pPr>
        <w:keepLines w:val="0"/>
      </w:pPr>
      <w:r>
        <w:rPr>
          <w:rFonts w:ascii="Noto Sans" w:hAnsi="Noto Sans" w:eastAsia="Noto Sans TC" w:cs="Noto Sans"/>
          <w:b w:val="0"/>
        </w:rPr>
        <w:t xml:space="preserve">Koşullardaki veya işlemedeki önemli değişiklikler, geçerli hukuka uygun olarak bildirilir ve gerekli süreçler yürütülür; doğmuş kanuni haklar geriye dönük olarak azaltılmaz. Hukuk ve veri hakları: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müşteri hizmetleri ve düzeltme: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güvenlik olayları: </w:t>
      </w:r>
      <w:hyperlink r:id="rId13">
        <w:r>
          <w:rPr>
            <w:rFonts w:ascii="Noto Sans" w:hAnsi="Noto Sans" w:eastAsia="Noto Sans TC"/>
            <w:b w:val="0"/>
          </w:rPr>
          <w:t xml:space="preserve">security@dawnbloom.net</w:t>
        </w:r>
      </w:hyperlink>
      <w:r>
        <w:rPr>
          <w:rFonts w:ascii="Noto Sans" w:hAnsi="Noto Sans" w:eastAsia="Noto Sans TC" w:cs="Noto Sans"/>
          <w:b w:val="0"/>
        </w:rPr>
        <w:t xml:space="preserve">. Kanuni iletişim adresi bakımından resmî hukuki bilgilerdeki adres geçerlidir.</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AI Kullanım Koşulları</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