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Официальный канал DAWNBLOOM &amp; Уведомление об анти-мошенничестве</w:t>
      </w:r>
    </w:p>
    <w:p>
      <w:pPr>
        <w:keepLines w:val="0"/>
      </w:pPr>
      <w:r>
        <w:rPr>
          <w:rFonts w:ascii="Noto Sans" w:hAnsi="Noto Sans" w:eastAsia="Arial Unicode MS" w:cs="Noto Sans"/>
          <w:b w:val="0"/>
        </w:rPr>
        <w:t>Официальная версия</w:t>
      </w:r>
    </w:p>
    <w:p>
      <w:pPr>
        <w:keepLines w:val="0"/>
      </w:pPr>
      <w:r>
        <w:rPr>
          <w:rFonts w:ascii="Noto Sans" w:hAnsi="Noto Sans" w:eastAsia="Arial Unicode MS" w:cs="Noto Sans"/>
          <w:b w:val="0"/>
        </w:rPr>
        <w:t>ОФИЦИАЛЬНЫЕ КАНАЛЫ И ПРЕДУПРЕЖДЕНИЕ О МОШЕННИЧЕСТВЕ</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Проверяйте официальный сайт только здесь</w:t>
              <w:br/>
              <w:t>https://dawnbloom.net</w:t>
            </w:r>
          </w:p>
        </w:tc>
      </w:tr>
    </w:tbl>
    <w:p>
      <w:pPr>
        <w:spacing w:after="40"/>
      </w:pPr>
    </w:p>
    <w:p>
      <w:pPr>
        <w:keepLines w:val="0"/>
      </w:pPr>
      <w:r>
        <w:rPr>
          <w:rFonts w:ascii="Noto Sans" w:hAnsi="Noto Sans" w:eastAsia="Arial Unicode MS" w:cs="Noto Sans"/>
          <w:b w:val="0"/>
        </w:rPr>
        <w:t>V8 · 10 октября 2026 года</w:t>
      </w:r>
    </w:p>
    <w:p>
      <w:pPr>
        <w:keepLines w:val="0"/>
      </w:pPr>
      <w:r>
        <w:rPr>
          <w:rFonts w:ascii="Noto Sans" w:hAnsi="Noto Sans" w:eastAsia="Arial Unicode MS" w:cs="Noto Sans"/>
          <w:b w:val="0"/>
        </w:rPr>
        <w:t>Дата вступления в силу: 10 октября 2026 года</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Любой веб-сайт, служба поддержки, аккаунт в социальных сетях или страница оплаты, утверждающая, что представляет DAWNBLOOM (DAWNBLOOM), но не указан явно в данном уведомлении или на официальном сайте, не должна предоставляться с информацией об аккаунте, кодами подтверждения или запросами на оплату.</w:t>
            </w:r>
          </w:p>
        </w:tc>
      </w:tr>
    </w:tbl>
    <w:p>
      <w:pPr>
        <w:spacing w:after="40"/>
      </w:pPr>
    </w:p>
    <w:p>
      <w:pPr>
        <w:pStyle w:val="Heading1"/>
        <w:keepLines w:val="0"/>
      </w:pPr>
      <w:r>
        <w:rPr>
          <w:rFonts w:ascii="Noto Sans" w:hAnsi="Noto Sans" w:eastAsia="Arial Unicode MS" w:cs="Noto Sans"/>
          <w:b w:val="0"/>
        </w:rPr>
        <w:t>1. Цель данного уведомления</w:t>
      </w:r>
    </w:p>
    <w:p>
      <w:pPr>
        <w:keepLines w:val="0"/>
      </w:pPr>
      <w:r>
        <w:rPr>
          <w:rFonts w:ascii="Noto Sans" w:hAnsi="Noto Sans" w:eastAsia="Arial Unicode MS" w:cs="Noto Sans"/>
          <w:b w:val="0"/>
        </w:rPr>
        <w:t>Настоящее уведомление предназначено для помощи игрокам в определении официального веб-сайта, адреса официальной электронной почты, официальных аккаунтов в социальных сетях и каналов официальной службы поддержки «DAWNBLOOM» (DAWNBLOOM). Оно направлено на снижение рисков, связанных с фальшивой службой поддержки, фальшивыми услугами пополнения, фишинговыми сайтами, ссылками для кражи аккаунтов, ложными заявлениями о возврате средств и подменой личности несанкционированными лицами. Официальные каналы могут быть добавлены, перемещены или переименованы в соответствии с изменениями платформы; любые такие изменения или обновления будут окончательно утверждены и объявлены официально через dawnbloom.net.</w:t>
      </w:r>
    </w:p>
    <w:p>
      <w:pPr>
        <w:keepLines w:val="0"/>
      </w:pPr>
      <w:r>
        <w:rPr>
          <w:rFonts w:ascii="Noto Sans" w:hAnsi="Noto Sans" w:eastAsia="Arial Unicode MS" w:cs="Noto Sans"/>
          <w:b w:val="0"/>
        </w:rPr>
        <w:t>Настоящее уведомление также помогает пользователям определять страницы, установщики, обновления и поддержку для игры, Token, Browser, News, Mail, Download и Archive. Не приобретайте нерелизные продукты у неизвестных хостеров файлов, групповых чатов, частных чатов или сайтов с взломанным программным обеспечением.</w:t>
      </w:r>
    </w:p>
    <w:p>
      <w:pPr>
        <w:pStyle w:val="Heading1"/>
        <w:keepLines w:val="0"/>
      </w:pPr>
      <w:r>
        <w:rPr>
          <w:rFonts w:ascii="Noto Sans" w:hAnsi="Noto Sans" w:eastAsia="Arial Unicode MS" w:cs="Noto Sans"/>
          <w:b w:val="0"/>
        </w:rPr>
        <w:t>2. Официальные каналы</w:t>
      </w:r>
    </w:p>
    <w:p>
      <w:pPr>
        <w:keepLines w:val="0"/>
      </w:pPr>
      <w:r>
        <w:rPr>
          <w:rFonts w:ascii="Noto Sans" w:hAnsi="Noto Sans" w:eastAsia="Arial Unicode MS" w:cs="Noto Sans"/>
          <w:b w:val="0"/>
        </w:rPr>
        <w:t>DAWNBLOOM Fairy и DAWNBLOOM AI относятся к одной системе интеллектуальных сервисов нашей компании. Не отправляйте в чат пароли, полные одноразовые проверочные коды, токены доступа или платежные учетные данные. Рекомендации AI и карточки Intelligent UI не заменяют официальную проверку личности; операции с аккаунтом, активами и персональными данными по-прежнему должны проходить проверенные официальные сервисные процедуры. Не доверяйте сообщениям, которые от имени AI требуют обходить проверку, переводить деньги на личные счета или передавать чувствительную информацию на похожих доменах.</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Канал</w:t>
            </w:r>
          </w:p>
        </w:tc>
        <w:tc>
          <w:tcPr>
            <w:tcW w:type="dxa" w:w="3249"/>
            <w:vAlign w:val="center"/>
            <w:shd w:fill="DCE8F7"/>
          </w:tcPr>
          <w:p>
            <w:pPr>
              <w:keepNext/>
              <w:spacing w:after="40"/>
            </w:pPr>
            <w:r>
              <w:rPr>
                <w:rFonts w:ascii="Noto Sans" w:hAnsi="Noto Sans" w:eastAsia="Arial Unicode MS" w:cs="Noto Sans"/>
                <w:b/>
                <w:sz w:val="17"/>
              </w:rPr>
              <w:t>Официальная информация</w:t>
            </w:r>
          </w:p>
        </w:tc>
        <w:tc>
          <w:tcPr>
            <w:tcW w:type="dxa" w:w="3249"/>
            <w:vAlign w:val="center"/>
            <w:shd w:fill="DCE8F7"/>
          </w:tcPr>
          <w:p>
            <w:pPr>
              <w:keepNext/>
              <w:spacing w:after="40"/>
            </w:pPr>
            <w:r>
              <w:rPr>
                <w:rFonts w:ascii="Noto Sans" w:hAnsi="Noto Sans" w:eastAsia="Arial Unicode MS" w:cs="Noto Sans"/>
                <w:b/>
                <w:sz w:val="17"/>
              </w:rPr>
              <w:t>Цель</w:t>
            </w:r>
          </w:p>
        </w:tc>
      </w:tr>
      <w:tr>
        <w:trPr>
          <w:cantSplit/>
        </w:trPr>
        <w:tc>
          <w:tcPr>
            <w:tcW w:type="dxa" w:w="3249"/>
            <w:vAlign w:val="center"/>
          </w:tcPr>
          <w:p>
            <w:pPr>
              <w:spacing w:after="40"/>
            </w:pPr>
            <w:r>
              <w:rPr>
                <w:rFonts w:ascii="Noto Sans" w:hAnsi="Noto Sans" w:eastAsia="Arial Unicode MS" w:cs="Noto Sans"/>
                <w:sz w:val="17"/>
              </w:rPr>
              <w:t>Единственный глобальный веб-сайт</w:t>
            </w:r>
          </w:p>
        </w:tc>
        <w:tc>
          <w:tcPr>
            <w:tcW w:type="dxa" w:w="3249"/>
            <w:vAlign w:val="center"/>
          </w:tcPr>
          <w:p>
            <w:pPr>
              <w:spacing w:after="40"/>
            </w:pPr>
            <w:hyperlink r:id="rId11">
              <w:r>
                <w:rPr>
                  <w:rFonts w:ascii="Noto Sans" w:hAnsi="Noto Sans" w:eastAsia="Arial Unicode MS"/>
                  <w:sz w:val="17"/>
                </w:rPr>
                <w:t xml:space="preserve">https://dawnbloom.net</w:t>
              </w:r>
            </w:hyperlink>
          </w:p>
        </w:tc>
        <w:tc>
          <w:tcPr>
            <w:tcW w:type="dxa" w:w="3249"/>
            <w:vAlign w:val="center"/>
          </w:tcPr>
          <w:p>
            <w:pPr>
              <w:spacing w:after="40"/>
            </w:pPr>
            <w:r>
              <w:rPr>
                <w:rFonts w:ascii="Noto Sans" w:hAnsi="Noto Sans" w:eastAsia="Arial Unicode MS" w:cs="Noto Sans"/>
                <w:sz w:val="17"/>
              </w:rPr>
              <w:t>Юридические документы, загрузки игр, услуги аккаунта, сообщество, магазин, объявления и официальные точки входа</w:t>
            </w:r>
          </w:p>
        </w:tc>
      </w:tr>
      <w:tr>
        <w:trPr>
          <w:cantSplit/>
        </w:trPr>
        <w:tc>
          <w:tcPr>
            <w:tcW w:type="dxa" w:w="3249"/>
            <w:vAlign w:val="center"/>
          </w:tcPr>
          <w:p>
            <w:pPr>
              <w:spacing w:after="40"/>
            </w:pPr>
            <w:r>
              <w:rPr>
                <w:rFonts w:ascii="Noto Sans" w:hAnsi="Noto Sans" w:eastAsia="Arial Unicode MS" w:cs="Noto Sans"/>
                <w:sz w:val="17"/>
              </w:rPr>
              <w:t>Официальная страница на китайском языке</w:t>
            </w:r>
          </w:p>
        </w:tc>
        <w:tc>
          <w:tcPr>
            <w:tcW w:type="dxa" w:w="3249"/>
            <w:vAlign w:val="center"/>
          </w:tcPr>
          <w:p>
            <w:pPr>
              <w:spacing w:after="40"/>
            </w:pPr>
            <w:r>
              <w:rPr>
                <w:rFonts w:ascii="Noto Sans" w:hAnsi="Noto Sans" w:eastAsia="Arial Unicode MS" w:cs="Noto Sans"/>
                <w:sz w:val="17"/>
              </w:rPr>
              <w:t>https://dawnbloom.com.cn</w:t>
              <w:br/>
              <w:t>www.dawnbloom.com.cn</w:t>
            </w:r>
          </w:p>
        </w:tc>
        <w:tc>
          <w:tcPr>
            <w:tcW w:type="dxa" w:w="3249"/>
            <w:vAlign w:val="center"/>
          </w:tcPr>
          <w:p>
            <w:pPr>
              <w:spacing w:after="40"/>
            </w:pPr>
            <w:r>
              <w:rPr>
                <w:rFonts w:ascii="Noto Sans" w:hAnsi="Noto Sans" w:eastAsia="Arial Unicode MS" w:cs="Noto Sans"/>
                <w:sz w:val="17"/>
              </w:rPr>
              <w:t xml:space="preserve">HTTPS 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Официальная страница на японском языке</w:t>
            </w:r>
          </w:p>
        </w:tc>
        <w:tc>
          <w:tcPr>
            <w:tcW w:type="dxa" w:w="3249"/>
            <w:vAlign w:val="center"/>
          </w:tcPr>
          <w:p>
            <w:pPr>
              <w:spacing w:after="40"/>
            </w:pPr>
            <w:r>
              <w:rPr>
                <w:rFonts w:ascii="Noto Sans" w:hAnsi="Noto Sans" w:eastAsia="Arial Unicode MS" w:cs="Noto Sans"/>
                <w:sz w:val="17"/>
              </w:rPr>
              <w:t>https://dawnbloom.jp</w:t>
              <w:br/>
              <w:t>www.dawnbloom.jp</w:t>
            </w:r>
          </w:p>
        </w:tc>
        <w:tc>
          <w:tcPr>
            <w:tcW w:type="dxa" w:w="3249"/>
            <w:vAlign w:val="center"/>
          </w:tcPr>
          <w:p>
            <w:pPr>
              <w:spacing w:after="40"/>
            </w:pPr>
            <w:r>
              <w:rPr>
                <w:rFonts w:ascii="Noto Sans" w:hAnsi="Noto Sans" w:eastAsia="Arial Unicode MS" w:cs="Noto Sans"/>
                <w:sz w:val="17"/>
              </w:rPr>
              <w:t xml:space="preserve">Открыто; HTTPS 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Официальная точка входа корейского языка</w:t>
            </w:r>
          </w:p>
        </w:tc>
        <w:tc>
          <w:tcPr>
            <w:tcW w:type="dxa" w:w="3249"/>
            <w:vAlign w:val="center"/>
          </w:tcPr>
          <w:p>
            <w:pPr>
              <w:spacing w:after="40"/>
            </w:pPr>
            <w:hyperlink r:id="rId14">
              <w:r>
                <w:rPr>
                  <w:rFonts w:ascii="Noto Sans" w:hAnsi="Noto Sans" w:eastAsia="Arial Unicode MS"/>
                  <w:sz w:val="17"/>
                </w:rPr>
                <w:t xml:space="preserve">https://dawnbloom.kr</w:t>
              </w:r>
            </w:hyperlink>
            <w:r>
              <w:rPr>
                <w:rFonts w:ascii="Noto Sans" w:hAnsi="Noto Sans" w:eastAsia="Arial Unicode MS" w:cs="Noto Sans"/>
                <w:sz w:val="17"/>
              </w:rPr>
              <w:t xml:space="preserve"> · www.dawnbloom.kr</w:t>
            </w:r>
          </w:p>
        </w:tc>
        <w:tc>
          <w:tcPr>
            <w:tcW w:type="dxa" w:w="3249"/>
            <w:vAlign w:val="center"/>
          </w:tcPr>
          <w:p>
            <w:pPr>
              <w:spacing w:after="40"/>
            </w:pPr>
            <w:r>
              <w:rPr>
                <w:rFonts w:ascii="Noto Sans" w:hAnsi="Noto Sans" w:eastAsia="Arial Unicode MS" w:cs="Noto Sans"/>
                <w:sz w:val="17"/>
              </w:rPr>
              <w:t xml:space="preserve">Официальные корейские языковые записи dawnbloom.kr и www.dawnbloom.kr используют перенаправления HTTPS 301 на </w:t>
            </w:r>
            <w:hyperlink r:id="rId15">
              <w:r>
                <w:rPr>
                  <w:rFonts w:ascii="Noto Sans" w:hAnsi="Noto Sans" w:eastAsia="Arial Unicode MS"/>
                  <w:sz w:val="17"/>
                </w:rPr>
                <w:t xml:space="preserve">https://dawnbloom.net/kr/.</w:t>
              </w:r>
            </w:hyperlink>
            <w:r>
              <w:rPr>
                <w:rFonts w:ascii="Noto Sans" w:hAnsi="Noto Sans" w:eastAsia="Arial Unicode MS" w:cs="Noto Sans"/>
                <w:sz w:val="17"/>
              </w:rPr>
              <w:t xml:space="preserve"> Изменения DNS могут занять время для распространения. Они используют единый веб-сайт и не создают отдельный веб-сайт, аккаунт, базу данных или корейский игровой сервер.</w:t>
            </w:r>
          </w:p>
        </w:tc>
      </w:tr>
      <w:tr>
        <w:trPr>
          <w:cantSplit/>
        </w:trPr>
        <w:tc>
          <w:tcPr>
            <w:tcW w:type="dxa" w:w="3249"/>
            <w:vAlign w:val="center"/>
          </w:tcPr>
          <w:p>
            <w:pPr>
              <w:spacing w:after="40"/>
            </w:pPr>
            <w:r>
              <w:rPr>
                <w:rFonts w:ascii="Noto Sans" w:hAnsi="Noto Sans" w:eastAsia="Arial Unicode MS" w:cs="Noto Sans"/>
                <w:sz w:val="17"/>
              </w:rPr>
              <w:t>Существующая запись защиты бренда на китайском</w:t>
            </w:r>
          </w:p>
        </w:tc>
        <w:tc>
          <w:tcPr>
            <w:tcW w:type="dxa" w:w="3249"/>
            <w:vAlign w:val="center"/>
          </w:tcPr>
          <w:p>
            <w:pPr>
              <w:spacing w:after="40"/>
            </w:pPr>
            <w:r>
              <w:rPr>
                <w:rFonts w:ascii="Noto Sans" w:hAnsi="Noto Sans" w:eastAsia="Arial Unicode MS" w:cs="Noto Sans"/>
                <w:sz w:val="17"/>
              </w:rPr>
              <w:t>DAWNBLOOM.com</w:t>
              <w:br/>
              <w:t>xn--jhqp2f4z3amfugzo.com</w:t>
            </w:r>
          </w:p>
        </w:tc>
        <w:tc>
          <w:tcPr>
            <w:tcW w:type="dxa" w:w="3249"/>
            <w:vAlign w:val="center"/>
          </w:tcPr>
          <w:p>
            <w:pPr>
              <w:spacing w:after="40"/>
            </w:pPr>
            <w:r>
              <w:rPr>
                <w:rFonts w:ascii="Noto Sans" w:hAnsi="Noto Sans" w:eastAsia="Arial Unicode MS" w:cs="Noto Sans"/>
                <w:sz w:val="17"/>
              </w:rPr>
              <w:t xml:space="preserve">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Существующая запись защиты бренда на японском</w:t>
            </w:r>
          </w:p>
        </w:tc>
        <w:tc>
          <w:tcPr>
            <w:tcW w:type="dxa" w:w="3249"/>
            <w:vAlign w:val="center"/>
          </w:tcPr>
          <w:p>
            <w:pPr>
              <w:spacing w:after="40"/>
            </w:pPr>
            <w:r>
              <w:rPr>
                <w:rFonts w:ascii="Noto Sans" w:hAnsi="Noto Sans" w:eastAsia="Arial Unicode MS" w:cs="Noto Sans"/>
                <w:sz w:val="17"/>
              </w:rPr>
              <w:t>光と花咲く森.com</w:t>
              <w:br/>
              <w:t>xn--y8j6bw89l23cbo7ari8a.com</w:t>
            </w:r>
          </w:p>
        </w:tc>
        <w:tc>
          <w:tcPr>
            <w:tcW w:type="dxa" w:w="3249"/>
            <w:vAlign w:val="center"/>
          </w:tcPr>
          <w:p>
            <w:pPr>
              <w:spacing w:after="40"/>
            </w:pPr>
            <w:r>
              <w:rPr>
                <w:rFonts w:ascii="Noto Sans" w:hAnsi="Noto Sans" w:eastAsia="Arial Unicode MS" w:cs="Noto Sans"/>
                <w:sz w:val="17"/>
              </w:rPr>
              <w:t xml:space="preserve">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Электронная почта службы поддержки клиентов</w:t>
            </w:r>
          </w:p>
        </w:tc>
        <w:tc>
          <w:tcPr>
            <w:tcW w:type="dxa" w:w="3249"/>
            <w:vAlign w:val="center"/>
          </w:tcPr>
          <w:p>
            <w:pPr>
              <w:spacing w:after="40"/>
            </w:pPr>
            <w:hyperlink r:id="rId16">
              <w:r>
                <w:rPr>
                  <w:rFonts w:ascii="Noto Sans" w:hAnsi="Noto Sans" w:eastAsia="Arial Unicode MS"/>
                  <w:sz w:val="17"/>
                </w:rPr>
                <w:t xml:space="preserve">support@dawnbloom.net</w:t>
              </w:r>
            </w:hyperlink>
          </w:p>
        </w:tc>
        <w:tc>
          <w:tcPr>
            <w:tcW w:type="dxa" w:w="3249"/>
            <w:vAlign w:val="center"/>
          </w:tcPr>
          <w:p>
            <w:pPr>
              <w:spacing w:after="40"/>
            </w:pPr>
            <w:r>
              <w:rPr>
                <w:rFonts w:ascii="Noto Sans" w:hAnsi="Noto Sans" w:eastAsia="Arial Unicode MS" w:cs="Noto Sans"/>
                <w:sz w:val="17"/>
              </w:rPr>
              <w:t>Поддержка игроков, вопросы аккаунтов, аномальные ситуации и общая поддержка</w:t>
            </w:r>
          </w:p>
        </w:tc>
      </w:tr>
      <w:tr>
        <w:trPr>
          <w:cantSplit/>
        </w:trPr>
        <w:tc>
          <w:tcPr>
            <w:tcW w:type="dxa" w:w="3249"/>
            <w:vAlign w:val="center"/>
          </w:tcPr>
          <w:p>
            <w:pPr>
              <w:spacing w:after="40"/>
            </w:pPr>
            <w:r>
              <w:rPr>
                <w:rFonts w:ascii="Noto Sans" w:hAnsi="Noto Sans" w:eastAsia="Arial Unicode MS" w:cs="Noto Sans"/>
                <w:sz w:val="17"/>
              </w:rPr>
              <w:t>Предложения / жалобы</w:t>
            </w:r>
          </w:p>
        </w:tc>
        <w:tc>
          <w:tcPr>
            <w:tcW w:type="dxa" w:w="3249"/>
            <w:vAlign w:val="center"/>
          </w:tcPr>
          <w:p>
            <w:pPr>
              <w:spacing w:after="40"/>
            </w:pPr>
            <w:hyperlink r:id="rId17">
              <w:r>
                <w:rPr>
                  <w:rFonts w:ascii="Noto Sans" w:hAnsi="Noto Sans" w:eastAsia="Arial Unicode MS"/>
                  <w:sz w:val="17"/>
                </w:rPr>
                <w:t xml:space="preserve">hello@dawnbloom.net</w:t>
              </w:r>
            </w:hyperlink>
          </w:p>
        </w:tc>
        <w:tc>
          <w:tcPr>
            <w:tcW w:type="dxa" w:w="3249"/>
            <w:vAlign w:val="center"/>
          </w:tcPr>
          <w:p>
            <w:pPr>
              <w:spacing w:after="40"/>
            </w:pPr>
            <w:r>
              <w:rPr>
                <w:rFonts w:ascii="Noto Sans" w:hAnsi="Noto Sans" w:eastAsia="Arial Unicode MS" w:cs="Noto Sans"/>
                <w:sz w:val="17"/>
              </w:rPr>
              <w:t>Ежедневные предложения, жалобы на обслуживание и обратная связь об опыте</w:t>
            </w:r>
          </w:p>
        </w:tc>
      </w:tr>
      <w:tr>
        <w:trPr>
          <w:cantSplit/>
        </w:trPr>
        <w:tc>
          <w:tcPr>
            <w:tcW w:type="dxa" w:w="3249"/>
            <w:vAlign w:val="center"/>
          </w:tcPr>
          <w:p>
            <w:pPr>
              <w:spacing w:after="40"/>
            </w:pPr>
            <w:r>
              <w:rPr>
                <w:rFonts w:ascii="Noto Sans" w:hAnsi="Noto Sans" w:eastAsia="Arial Unicode MS" w:cs="Noto Sans"/>
                <w:sz w:val="17"/>
              </w:rPr>
              <w:t>Электронная почта для выставления счетов</w:t>
            </w:r>
          </w:p>
        </w:tc>
        <w:tc>
          <w:tcPr>
            <w:tcW w:type="dxa" w:w="3249"/>
            <w:vAlign w:val="center"/>
          </w:tcPr>
          <w:p>
            <w:pPr>
              <w:spacing w:after="40"/>
            </w:pPr>
            <w:hyperlink r:id="rId18">
              <w:r>
                <w:rPr>
                  <w:rFonts w:ascii="Noto Sans" w:hAnsi="Noto Sans" w:eastAsia="Arial Unicode MS"/>
                  <w:sz w:val="17"/>
                </w:rPr>
                <w:t xml:space="preserve">billing@dawnbloom.net</w:t>
              </w:r>
            </w:hyperlink>
          </w:p>
        </w:tc>
        <w:tc>
          <w:tcPr>
            <w:tcW w:type="dxa" w:w="3249"/>
            <w:vAlign w:val="center"/>
          </w:tcPr>
          <w:p>
            <w:pPr>
              <w:spacing w:after="40"/>
            </w:pPr>
            <w:r>
              <w:rPr>
                <w:rFonts w:ascii="Noto Sans" w:hAnsi="Noto Sans" w:eastAsia="Arial Unicode MS" w:cs="Noto Sans"/>
                <w:sz w:val="17"/>
              </w:rPr>
              <w:t>Заказы, платежи, выставление счетов, возвраты средств и вопросы, связанные с транзакциями</w:t>
            </w:r>
          </w:p>
        </w:tc>
      </w:tr>
      <w:tr>
        <w:trPr>
          <w:cantSplit/>
        </w:trPr>
        <w:tc>
          <w:tcPr>
            <w:tcW w:type="dxa" w:w="3249"/>
            <w:vAlign w:val="center"/>
          </w:tcPr>
          <w:p>
            <w:pPr>
              <w:spacing w:after="40"/>
            </w:pPr>
            <w:r>
              <w:rPr>
                <w:rFonts w:ascii="Noto Sans" w:hAnsi="Noto Sans" w:eastAsia="Arial Unicode MS" w:cs="Noto Sans"/>
                <w:sz w:val="17"/>
              </w:rPr>
              <w:t>Электронная почта для СМИ и сотрудничества</w:t>
            </w:r>
          </w:p>
        </w:tc>
        <w:tc>
          <w:tcPr>
            <w:tcW w:type="dxa" w:w="3249"/>
            <w:vAlign w:val="center"/>
          </w:tcPr>
          <w:p>
            <w:pPr>
              <w:spacing w:after="40"/>
            </w:pPr>
            <w:hyperlink r:id="rId19">
              <w:r>
                <w:rPr>
                  <w:rFonts w:ascii="Noto Sans" w:hAnsi="Noto Sans" w:eastAsia="Arial Unicode MS"/>
                  <w:sz w:val="17"/>
                </w:rPr>
                <w:t xml:space="preserve">contact@dawnbloom.net</w:t>
              </w:r>
            </w:hyperlink>
          </w:p>
        </w:tc>
        <w:tc>
          <w:tcPr>
            <w:tcW w:type="dxa" w:w="3249"/>
            <w:vAlign w:val="center"/>
          </w:tcPr>
          <w:p>
            <w:pPr>
              <w:spacing w:after="40"/>
            </w:pPr>
            <w:r>
              <w:rPr>
                <w:rFonts w:ascii="Noto Sans" w:hAnsi="Noto Sans" w:eastAsia="Arial Unicode MS" w:cs="Noto Sans"/>
                <w:sz w:val="17"/>
              </w:rPr>
              <w:t>Запросы от СМИ, деловое сотрудничество и вопросы, не относящиеся к обслуживанию клиентов</w:t>
            </w:r>
          </w:p>
        </w:tc>
      </w:tr>
      <w:tr>
        <w:trPr>
          <w:cantSplit/>
        </w:trPr>
        <w:tc>
          <w:tcPr>
            <w:tcW w:type="dxa" w:w="3249"/>
            <w:vAlign w:val="center"/>
          </w:tcPr>
          <w:p>
            <w:pPr>
              <w:spacing w:after="40"/>
            </w:pPr>
            <w:r>
              <w:rPr>
                <w:rFonts w:ascii="Noto Sans" w:hAnsi="Noto Sans" w:eastAsia="Arial Unicode MS" w:cs="Noto Sans"/>
                <w:sz w:val="17"/>
              </w:rPr>
              <w:t>Электронная почта для юридических вопросов и авторских прав</w:t>
            </w:r>
          </w:p>
        </w:tc>
        <w:tc>
          <w:tcPr>
            <w:tcW w:type="dxa" w:w="3249"/>
            <w:vAlign w:val="center"/>
          </w:tcPr>
          <w:p>
            <w:pPr>
              <w:spacing w:after="40"/>
            </w:pPr>
            <w:hyperlink r:id="rId20">
              <w:r>
                <w:rPr>
                  <w:rFonts w:ascii="Noto Sans" w:hAnsi="Noto Sans" w:eastAsia="Arial Unicode MS"/>
                  <w:sz w:val="17"/>
                </w:rPr>
                <w:t xml:space="preserve">legal@dawnbloom.net</w:t>
              </w:r>
            </w:hyperlink>
          </w:p>
        </w:tc>
        <w:tc>
          <w:tcPr>
            <w:tcW w:type="dxa" w:w="3249"/>
            <w:vAlign w:val="center"/>
          </w:tcPr>
          <w:p>
            <w:pPr>
              <w:spacing w:after="40"/>
            </w:pPr>
            <w:r>
              <w:rPr>
                <w:rFonts w:ascii="Noto Sans" w:hAnsi="Noto Sans" w:eastAsia="Arial Unicode MS" w:cs="Noto Sans"/>
                <w:sz w:val="17"/>
              </w:rPr>
              <w:t>Юридические уведомления, авторские права, интеллектуальная собственность и официальные юридические коммуникации</w:t>
            </w:r>
          </w:p>
        </w:tc>
      </w:tr>
      <w:tr>
        <w:trPr>
          <w:cantSplit/>
        </w:trPr>
        <w:tc>
          <w:tcPr>
            <w:tcW w:type="dxa" w:w="3249"/>
            <w:vAlign w:val="center"/>
          </w:tcPr>
          <w:p>
            <w:pPr>
              <w:spacing w:after="40"/>
            </w:pPr>
            <w:r>
              <w:rPr>
                <w:rFonts w:ascii="Noto Sans" w:hAnsi="Noto Sans" w:eastAsia="Arial Unicode MS" w:cs="Noto Sans"/>
                <w:sz w:val="17"/>
              </w:rPr>
              <w:t>Электронная почта для сообщений об уязвимостях безопасности</w:t>
            </w:r>
          </w:p>
        </w:tc>
        <w:tc>
          <w:tcPr>
            <w:tcW w:type="dxa" w:w="3249"/>
            <w:vAlign w:val="center"/>
          </w:tcPr>
          <w:p>
            <w:pPr>
              <w:spacing w:after="40"/>
            </w:pPr>
            <w:hyperlink r:id="rId21">
              <w:r>
                <w:rPr>
                  <w:rFonts w:ascii="Noto Sans" w:hAnsi="Noto Sans" w:eastAsia="Arial Unicode MS"/>
                  <w:sz w:val="17"/>
                </w:rPr>
                <w:t xml:space="preserve">security@dawnbloom.net</w:t>
              </w:r>
            </w:hyperlink>
          </w:p>
        </w:tc>
        <w:tc>
          <w:tcPr>
            <w:tcW w:type="dxa" w:w="3249"/>
            <w:vAlign w:val="center"/>
          </w:tcPr>
          <w:p>
            <w:pPr>
              <w:spacing w:after="40"/>
            </w:pPr>
            <w:r>
              <w:rPr>
                <w:rFonts w:ascii="Noto Sans" w:hAnsi="Noto Sans" w:eastAsia="Arial Unicode MS" w:cs="Noto Sans"/>
                <w:sz w:val="17"/>
              </w:rPr>
              <w:t>Уязвимости безопасности, технические проблемы безопасности и ответственное раскрытие информации</w:t>
            </w:r>
          </w:p>
        </w:tc>
      </w:tr>
    </w:tbl>
    <w:p>
      <w:pPr>
        <w:spacing w:after="40"/>
      </w:pPr>
    </w:p>
    <w:p>
      <w:pPr>
        <w:keepLines w:val="0"/>
      </w:pPr>
      <w:r>
        <w:rPr>
          <w:rFonts w:ascii="Noto Sans" w:hAnsi="Noto Sans" w:eastAsia="Arial Unicode MS" w:cs="Noto Sans"/>
          <w:b w:val="0"/>
        </w:rPr>
        <w:t>Региональные записи в таблице служат только для выбора языка. Они самостоятельно не обрабатывают регистрацию, аутентификацию, смену пароля, пополнение, платежи или заказы. После нормального перенаправления проверьте полное имя хоста основного сайта и путь языка в адресной строке. Обе региональные записи открыты и используют HTTPS 301 редирект на указанные языковые пути основного сайта. Региональные записи не создают нового оператора или базы данных и не переносят аккаунты или данные игроков. Их суффиксы не устанавливают хостинг в материковом Китае, регистрацию ICP или японскую корпорацию/филиал. Оператор предоставил идентификационные данные регистрации компании для китайской записи. Статус зарегистрированного владельца и официальная авторизация японской записи подлежат проверке; данное уведомление не утверждает прямого владения компанией. Существующие домены защиты бренда остаются в списке. Одного отображения Punycode недостаточно для доказательства имитации, но проверяйте полное написание и конечный адрес. Другие похожие домены не становятся официальными из-за сходства. Официальная электронная почта использует только @dawnbloom.net.</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Сервис</w:t>
            </w:r>
          </w:p>
        </w:tc>
        <w:tc>
          <w:tcPr>
            <w:tcW w:type="dxa" w:w="4873"/>
            <w:vAlign w:val="center"/>
            <w:shd w:fill="DCE8F7"/>
          </w:tcPr>
          <w:p>
            <w:pPr>
              <w:keepNext/>
              <w:spacing w:after="40"/>
            </w:pPr>
            <w:r>
              <w:rPr>
                <w:rFonts w:ascii="Noto Sans" w:hAnsi="Noto Sans" w:eastAsia="Arial Unicode MS" w:cs="Noto Sans"/>
                <w:b/>
                <w:sz w:val="17"/>
              </w:rPr>
              <w:t>Официальный основной путь (замените zh на en или ja)</w:t>
            </w:r>
          </w:p>
        </w:tc>
      </w:tr>
      <w:tr>
        <w:trPr>
          <w:cantSplit/>
        </w:trPr>
        <w:tc>
          <w:tcPr>
            <w:tcW w:type="dxa" w:w="4873"/>
            <w:vAlign w:val="center"/>
          </w:tcPr>
          <w:p>
            <w:pPr>
              <w:spacing w:after="40"/>
            </w:pPr>
            <w:r>
              <w:rPr>
                <w:rFonts w:ascii="Noto Sans" w:hAnsi="Noto Sans" w:eastAsia="Arial Unicode MS" w:cs="Noto Sans"/>
                <w:sz w:val="17"/>
              </w:rPr>
              <w:t>Вход в аккаунт</w:t>
            </w:r>
          </w:p>
        </w:tc>
        <w:tc>
          <w:tcPr>
            <w:tcW w:type="dxa" w:w="4873"/>
            <w:vAlign w:val="center"/>
          </w:tcPr>
          <w:p>
            <w:pPr>
              <w:spacing w:after="40"/>
            </w:pPr>
            <w:hyperlink r:id="rId22">
              <w:r>
                <w:rPr>
                  <w:rFonts w:ascii="Noto Sans" w:hAnsi="Noto Sans" w:eastAsia="Arial Unicode MS"/>
                  <w:sz w:val="17"/>
                </w:rPr>
                <w:t xml:space="preserve">https://dawnbloom.net/zh/player-center/</w:t>
              </w:r>
            </w:hyperlink>
          </w:p>
        </w:tc>
      </w:tr>
      <w:tr>
        <w:trPr>
          <w:cantSplit/>
        </w:trPr>
        <w:tc>
          <w:tcPr>
            <w:tcW w:type="dxa" w:w="4873"/>
            <w:vAlign w:val="center"/>
          </w:tcPr>
          <w:p>
            <w:pPr>
              <w:spacing w:after="40"/>
            </w:pPr>
            <w:r>
              <w:rPr>
                <w:rFonts w:ascii="Noto Sans" w:hAnsi="Noto Sans" w:eastAsia="Arial Unicode MS" w:cs="Noto Sans"/>
                <w:sz w:val="17"/>
              </w:rPr>
              <w:t>Восстановление и контроль безопасности</w:t>
            </w:r>
          </w:p>
        </w:tc>
        <w:tc>
          <w:tcPr>
            <w:tcW w:type="dxa" w:w="4873"/>
            <w:vAlign w:val="center"/>
          </w:tcPr>
          <w:p>
            <w:pPr>
              <w:spacing w:after="40"/>
            </w:pPr>
            <w:hyperlink r:id="rId23">
              <w:r>
                <w:rPr>
                  <w:rFonts w:ascii="Noto Sans" w:hAnsi="Noto Sans" w:eastAsia="Arial Unicode MS"/>
                  <w:sz w:val="17"/>
                </w:rPr>
                <w:t xml:space="preserve">https://dawnbloom.net/zh/support/account/</w:t>
              </w:r>
            </w:hyperlink>
          </w:p>
        </w:tc>
      </w:tr>
      <w:tr>
        <w:trPr>
          <w:cantSplit/>
        </w:trPr>
        <w:tc>
          <w:tcPr>
            <w:tcW w:type="dxa" w:w="4873"/>
            <w:vAlign w:val="center"/>
          </w:tcPr>
          <w:p>
            <w:pPr>
              <w:spacing w:after="40"/>
            </w:pPr>
            <w:r>
              <w:rPr>
                <w:rFonts w:ascii="Noto Sans" w:hAnsi="Noto Sans" w:eastAsia="Arial Unicode MS" w:cs="Noto Sans"/>
                <w:sz w:val="17"/>
              </w:rPr>
              <w:t>Поддержка и контакты</w:t>
            </w:r>
          </w:p>
        </w:tc>
        <w:tc>
          <w:tcPr>
            <w:tcW w:type="dxa" w:w="4873"/>
            <w:vAlign w:val="center"/>
          </w:tcPr>
          <w:p>
            <w:pPr>
              <w:spacing w:after="40"/>
            </w:pPr>
            <w:r>
              <w:rPr>
                <w:rFonts w:ascii="Noto Sans" w:hAnsi="Noto Sans" w:eastAsia="Arial Unicode MS" w:cs="Noto Sans"/>
                <w:sz w:val="17"/>
              </w:rPr>
              <w:t>https://dawnbloom.net/zh/support/</w:t>
              <w:br/>
              <w:t>https://dawnbloom.net/zh/support/contact/</w:t>
            </w:r>
          </w:p>
        </w:tc>
      </w:tr>
      <w:tr>
        <w:trPr>
          <w:cantSplit/>
        </w:trPr>
        <w:tc>
          <w:tcPr>
            <w:tcW w:type="dxa" w:w="4873"/>
            <w:vAlign w:val="center"/>
          </w:tcPr>
          <w:p>
            <w:pPr>
              <w:spacing w:after="40"/>
            </w:pPr>
            <w:r>
              <w:rPr>
                <w:rFonts w:ascii="Noto Sans" w:hAnsi="Noto Sans" w:eastAsia="Arial Unicode MS" w:cs="Noto Sans"/>
                <w:sz w:val="17"/>
              </w:rPr>
              <w:t>Официальные загрузки</w:t>
            </w:r>
          </w:p>
        </w:tc>
        <w:tc>
          <w:tcPr>
            <w:tcW w:type="dxa" w:w="4873"/>
            <w:vAlign w:val="center"/>
          </w:tcPr>
          <w:p>
            <w:pPr>
              <w:spacing w:after="40"/>
            </w:pPr>
            <w:hyperlink r:id="rId24">
              <w:r>
                <w:rPr>
                  <w:rFonts w:ascii="Noto Sans" w:hAnsi="Noto Sans" w:eastAsia="Arial Unicode MS"/>
                  <w:sz w:val="17"/>
                </w:rPr>
                <w:t xml:space="preserve">https://dawnbloom.net/zh/download/</w:t>
              </w:r>
            </w:hyperlink>
          </w:p>
        </w:tc>
      </w:tr>
      <w:tr>
        <w:trPr>
          <w:cantSplit/>
        </w:trPr>
        <w:tc>
          <w:tcPr>
            <w:tcW w:type="dxa" w:w="4873"/>
            <w:vAlign w:val="center"/>
          </w:tcPr>
          <w:p>
            <w:pPr>
              <w:spacing w:after="40"/>
            </w:pPr>
            <w:r>
              <w:rPr>
                <w:rFonts w:ascii="Noto Sans" w:hAnsi="Noto Sans" w:eastAsia="Arial Unicode MS" w:cs="Noto Sans"/>
                <w:sz w:val="17"/>
              </w:rPr>
              <w:t>Магазин, пополнение и биллинг (с учетом доступности)</w:t>
            </w:r>
          </w:p>
        </w:tc>
        <w:tc>
          <w:tcPr>
            <w:tcW w:type="dxa" w:w="4873"/>
            <w:vAlign w:val="center"/>
          </w:tcPr>
          <w:p>
            <w:pPr>
              <w:spacing w:after="40"/>
            </w:pPr>
            <w:r>
              <w:rPr>
                <w:rFonts w:ascii="Noto Sans" w:hAnsi="Noto Sans" w:eastAsia="Arial Unicode MS" w:cs="Noto Sans"/>
                <w:sz w:val="17"/>
              </w:rPr>
              <w:t>https://dawnbloom.net/zh/shop/</w:t>
              <w:br/>
              <w:t>https://dawnbloom.net/zh/recharge/</w:t>
              <w:br/>
              <w:t>https://dawnbloom.net/zh/support/billing/</w:t>
            </w:r>
          </w:p>
        </w:tc>
      </w:tr>
    </w:tbl>
    <w:p>
      <w:pPr>
        <w:spacing w:after="40"/>
      </w:pPr>
    </w:p>
    <w:p>
      <w:pPr>
        <w:pStyle w:val="Heading1"/>
        <w:keepLines w:val="0"/>
      </w:pPr>
      <w:r>
        <w:rPr>
          <w:rFonts w:ascii="Noto Sans" w:hAnsi="Noto Sans" w:eastAsia="Arial Unicode MS" w:cs="Noto Sans"/>
          <w:b w:val="0"/>
        </w:rPr>
        <w:t>Информация об операционной сущности и юридическом контакте</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Проект</w:t>
            </w:r>
          </w:p>
        </w:tc>
        <w:tc>
          <w:tcPr>
            <w:tcW w:type="dxa" w:w="4873"/>
            <w:vAlign w:val="center"/>
            <w:shd w:fill="DCE8F7"/>
          </w:tcPr>
          <w:p>
            <w:pPr>
              <w:keepNext/>
              <w:spacing w:after="40"/>
            </w:pPr>
            <w:r>
              <w:rPr>
                <w:rFonts w:ascii="Noto Sans" w:hAnsi="Noto Sans" w:eastAsia="Arial Unicode MS" w:cs="Noto Sans"/>
                <w:b/>
                <w:sz w:val="17"/>
              </w:rPr>
              <w:t>Информация</w:t>
            </w:r>
          </w:p>
        </w:tc>
      </w:tr>
      <w:tr>
        <w:trPr>
          <w:cantSplit/>
        </w:trPr>
        <w:tc>
          <w:tcPr>
            <w:tcW w:type="dxa" w:w="4873"/>
            <w:vAlign w:val="center"/>
          </w:tcPr>
          <w:p>
            <w:pPr>
              <w:spacing w:after="40"/>
            </w:pPr>
            <w:r>
              <w:rPr>
                <w:rFonts w:ascii="Noto Sans" w:hAnsi="Noto Sans" w:eastAsia="Arial Unicode MS" w:cs="Noto Sans"/>
                <w:sz w:val="17"/>
              </w:rPr>
              <w:t>Оператор / поставщик веб-услуг</w:t>
            </w:r>
          </w:p>
        </w:tc>
        <w:tc>
          <w:tcPr>
            <w:tcW w:type="dxa" w:w="4873"/>
            <w:vAlign w:val="center"/>
          </w:tcPr>
          <w:p>
            <w:pPr>
              <w:spacing w:after="40"/>
            </w:pPr>
            <w:r>
              <w:rPr>
                <w:rFonts w:ascii="Noto Sans" w:hAnsi="Noto Sans" w:eastAsia="Arial Unicode MS" w:cs="Noto Sans"/>
                <w:sz w:val="17"/>
              </w:rPr>
              <w:t>上海追光智创文化传媒有限公司 (Публичное английское название: SHANGHAI LUMIREALM CREATIVE MEDIA CO., LTD.)</w:t>
            </w:r>
          </w:p>
        </w:tc>
      </w:tr>
      <w:tr>
        <w:trPr>
          <w:cantSplit/>
        </w:trPr>
        <w:tc>
          <w:tcPr>
            <w:tcW w:type="dxa" w:w="4873"/>
            <w:vAlign w:val="center"/>
          </w:tcPr>
          <w:p>
            <w:pPr>
              <w:spacing w:after="40"/>
            </w:pPr>
            <w:r>
              <w:rPr>
                <w:rFonts w:ascii="Noto Sans" w:hAnsi="Noto Sans" w:eastAsia="Arial Unicode MS" w:cs="Noto Sans"/>
                <w:sz w:val="17"/>
              </w:rPr>
              <w:t>Адрес эксплуатации / адрес юридического контакта</w:t>
            </w:r>
          </w:p>
        </w:tc>
        <w:tc>
          <w:tcPr>
            <w:tcW w:type="dxa" w:w="4873"/>
            <w:vAlign w:val="center"/>
          </w:tcPr>
          <w:p>
            <w:pPr>
              <w:spacing w:after="40"/>
            </w:pPr>
            <w:r>
              <w:rPr>
                <w:rFonts w:ascii="Noto Sans" w:hAnsi="Noto Sans" w:eastAsia="Arial Unicode MS" w:cs="Noto Sans"/>
                <w:sz w:val="17"/>
              </w:rPr>
              <w:t>Китай (Шанхай) пилотная зона свободной торговли, Линганг специальный район, улица Тяньцзяо, дом 336, здание 3, комната 218</w:t>
            </w:r>
          </w:p>
        </w:tc>
      </w:tr>
    </w:tbl>
    <w:p>
      <w:pPr>
        <w:spacing w:after="40"/>
      </w:pPr>
    </w:p>
    <w:p>
      <w:pPr>
        <w:pStyle w:val="Heading1"/>
        <w:keepLines w:val="0"/>
      </w:pPr>
      <w:r>
        <w:rPr>
          <w:rFonts w:ascii="Noto Sans" w:hAnsi="Noto Sans" w:eastAsia="Arial Unicode MS" w:cs="Noto Sans"/>
          <w:b w:val="0"/>
        </w:rPr>
        <w:t>3. Официальные социальные сети и каналы мгновенного обмена сообщениями</w:t>
      </w:r>
    </w:p>
    <w:p>
      <w:pPr>
        <w:keepLines w:val="0"/>
      </w:pPr>
      <w:r>
        <w:rPr>
          <w:rFonts w:ascii="Noto Sans" w:hAnsi="Noto Sans" w:eastAsia="Arial Unicode MS" w:cs="Noto Sans"/>
          <w:b w:val="0"/>
        </w:rPr>
        <w:t xml:space="preserve">Официальные имена, имена пользователей и ссылки платформ могут изменяться. Открывайте перечисленные каналы через разделы Поддержка или Контакты на основном сайте; результаты поиска, аватары или количество подписчиков не подтверждают личность. Проверяйте сомнительные контакты через </w:t>
      </w:r>
      <w:hyperlink r:id="rId16">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pStyle w:val="ListBullet"/>
        <w:keepLines w:val="0"/>
      </w:pPr>
      <w:r>
        <w:rPr>
          <w:rFonts w:ascii="Noto Sans" w:hAnsi="Noto Sans" w:eastAsia="Arial Unicode MS" w:cs="Noto Sans"/>
          <w:b w:val="0"/>
        </w:rPr>
        <w:t>Поддерживаемые платформы могут включать Facebook, Threads, Instagram, YouTube, X, Bluesky, Xiaohongshu, WeChat, Douyin и другие.</w:t>
      </w:r>
    </w:p>
    <w:p>
      <w:pPr>
        <w:pStyle w:val="ListBullet"/>
        <w:keepLines w:val="0"/>
      </w:pPr>
      <w:r>
        <w:rPr>
          <w:rFonts w:ascii="Noto Sans" w:hAnsi="Noto Sans" w:eastAsia="Arial Unicode MS" w:cs="Noto Sans"/>
          <w:b w:val="0"/>
        </w:rPr>
        <w:t>Если аккаунт на любой платформе не указан на официальной странице каналов dawnbloom.net, даже если его имя, аватар или контент похожи на официальный, не следует считать его официальным только на основе визуального сходства.</w:t>
      </w:r>
    </w:p>
    <w:p>
      <w:pPr>
        <w:pStyle w:val="ListBullet"/>
        <w:keepLines w:val="0"/>
      </w:pPr>
      <w:r>
        <w:rPr>
          <w:rFonts w:ascii="Noto Sans" w:hAnsi="Noto Sans" w:eastAsia="Arial Unicode MS" w:cs="Noto Sans"/>
          <w:b w:val="0"/>
        </w:rPr>
        <w:t>Любые добавления, приостановки, перемещения или переименования официальных каналов будут подчиняться последнему официальному объявлению на dawnbloom.net.</w:t>
      </w:r>
    </w:p>
    <w:p>
      <w:pPr>
        <w:pStyle w:val="Heading1"/>
        <w:keepLines w:val="0"/>
      </w:pPr>
      <w:r>
        <w:rPr>
          <w:rFonts w:ascii="Noto Sans" w:hAnsi="Noto Sans" w:eastAsia="Arial Unicode MS" w:cs="Noto Sans"/>
          <w:b w:val="0"/>
        </w:rPr>
        <w:t>4. То, чего официальный сотрудник никогда не попросит вас сделать</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Будьте бдительны: сотрудники официальной службы поддержки никогда не запросят ваш пароль от аккаунта, одноразовый код подтверждения или пароль для оплаты через личные сообщения. Они также никогда не попросят перевести деньги на личный счет под предлогами вроде «разблокировки», «возврата средств», «получения наград», «восстановления оборудования» или «проверки активов».</w:t>
            </w:r>
          </w:p>
        </w:tc>
      </w:tr>
    </w:tbl>
    <w:p>
      <w:pPr>
        <w:spacing w:after="40"/>
      </w:pPr>
    </w:p>
    <w:p>
      <w:pPr>
        <w:keepLines w:val="0"/>
      </w:pPr>
      <w:r>
        <w:rPr>
          <w:rFonts w:ascii="Noto Sans" w:hAnsi="Noto Sans" w:eastAsia="Arial Unicode MS" w:cs="Noto Sans"/>
          <w:b w:val="0"/>
        </w:rPr>
        <w:t>Вращающиеся коды Token, детали восстановления аккаунта и разговоры с Dawnbloom Guide никогда не являются основанием для запроса пароля в приватном чате или платежа. Dawnbloom Guide не обходит формальные проверки для аккаунтов, активов, апелляций или внутренних данных.</w:t>
      </w:r>
    </w:p>
    <w:p>
      <w:pPr>
        <w:pStyle w:val="ListBullet"/>
        <w:keepLines w:val="0"/>
      </w:pPr>
      <w:r>
        <w:rPr>
          <w:rFonts w:ascii="Noto Sans" w:hAnsi="Noto Sans" w:eastAsia="Arial Unicode MS" w:cs="Noto Sans"/>
          <w:b w:val="0"/>
        </w:rPr>
        <w:t>Никогда не запрашивает ваш пароль от игровой учетной записи, пароль Apple ID, пароль Steam, пароль для оплаты через WeChat/Alipay или пароль банковской карты.</w:t>
      </w:r>
    </w:p>
    <w:p>
      <w:pPr>
        <w:pStyle w:val="ListBullet"/>
        <w:keepLines w:val="0"/>
      </w:pPr>
      <w:r>
        <w:rPr>
          <w:rFonts w:ascii="Noto Sans" w:hAnsi="Noto Sans" w:eastAsia="Arial Unicode MS" w:cs="Noto Sans"/>
          <w:b w:val="0"/>
        </w:rPr>
        <w:t>Никогда не запрашивает ваш SMS-код подтверждения, код подтверждения электронной почты, код двухфакторной аутентификации, динамический ключ Lightseeker Token (если включен) или любой другой одноразовый код безопасности.</w:t>
      </w:r>
    </w:p>
    <w:p>
      <w:pPr>
        <w:pStyle w:val="ListBullet"/>
        <w:keepLines w:val="0"/>
      </w:pPr>
      <w:r>
        <w:rPr>
          <w:rFonts w:ascii="Noto Sans" w:hAnsi="Noto Sans" w:eastAsia="Arial Unicode MS" w:cs="Noto Sans"/>
          <w:b w:val="0"/>
        </w:rPr>
        <w:t>Никогда не требует, чтобы вы включали совместный доступ к экрану, удаленный контроль или устанавливали какое-либо неизвестное программное обеспечение для удаленной помощи, APK, файл описания, расширение браузера или так называемый «плагин безопасности».</w:t>
      </w:r>
    </w:p>
    <w:p>
      <w:pPr>
        <w:pStyle w:val="ListBullet"/>
        <w:keepLines w:val="0"/>
      </w:pPr>
      <w:r>
        <w:rPr>
          <w:rFonts w:ascii="Noto Sans" w:hAnsi="Noto Sans" w:eastAsia="Arial Unicode MS" w:cs="Noto Sans"/>
          <w:b w:val="0"/>
        </w:rPr>
        <w:t>Мы не будем просить вас переводить Magic Coins, Phantom Beasts, оборудование или внутриигровые предметы на так называемые «аккаунт GM», «безопасный аккаунт» или «аккаунт верификации» для проверки.</w:t>
      </w:r>
    </w:p>
    <w:p>
      <w:pPr>
        <w:pStyle w:val="ListBullet"/>
        <w:keepLines w:val="0"/>
      </w:pPr>
      <w:r>
        <w:rPr>
          <w:rFonts w:ascii="Noto Sans" w:hAnsi="Noto Sans" w:eastAsia="Arial Unicode MS" w:cs="Noto Sans"/>
          <w:b w:val="0"/>
        </w:rPr>
        <w:t>Никогда не требует, чтобы вы платили через личный WeChat, личный Alipay, личную банковскую карту, подарочную карту, адрес криптовалюты или любой другой неофициальный канал оплаты.</w:t>
      </w:r>
    </w:p>
    <w:p>
      <w:pPr>
        <w:pStyle w:val="ListBullet"/>
        <w:keepLines w:val="0"/>
      </w:pPr>
      <w:r>
        <w:rPr>
          <w:rFonts w:ascii="Noto Sans" w:hAnsi="Noto Sans" w:eastAsia="Arial Unicode MS" w:cs="Noto Sans"/>
          <w:b w:val="0"/>
        </w:rPr>
        <w:t>Никогда не запрашивает дополнительные платежи под предлогами, такими как «перевод перед возвратом», «сначала внесите депозит», «плата за разморозку счета», «плата за освобождение от штрафа», «плата за проверку» или «плата за обработку сбора призов».</w:t>
      </w:r>
    </w:p>
    <w:p>
      <w:pPr>
        <w:pStyle w:val="ListBullet"/>
        <w:keepLines w:val="0"/>
      </w:pPr>
      <w:r>
        <w:rPr>
          <w:rFonts w:ascii="Noto Sans" w:hAnsi="Noto Sans" w:eastAsia="Arial Unicode MS" w:cs="Noto Sans"/>
          <w:b w:val="0"/>
        </w:rPr>
        <w:t>Никогда не предлагает вам снова войти в свою игровую учетную запись или ввести полные платежные реквизиты через неофициальные ссылки.</w:t>
      </w:r>
    </w:p>
    <w:p>
      <w:pPr>
        <w:pStyle w:val="ListBullet"/>
        <w:keepLines w:val="0"/>
      </w:pPr>
      <w:r>
        <w:rPr>
          <w:rFonts w:ascii="Noto Sans" w:hAnsi="Noto Sans" w:eastAsia="Arial Unicode MS" w:cs="Noto Sans"/>
          <w:b w:val="0"/>
        </w:rPr>
        <w:t>Никогда не обещает частных платных изменений к штрафам, повышению вероятности победы, распределению редких предметов или обходу официальных правил.</w:t>
      </w:r>
    </w:p>
    <w:p>
      <w:pPr>
        <w:pStyle w:val="Heading1"/>
        <w:keepLines w:val="0"/>
      </w:pPr>
      <w:r>
        <w:rPr>
          <w:rFonts w:ascii="Noto Sans" w:hAnsi="Noto Sans" w:eastAsia="Arial Unicode MS" w:cs="Noto Sans"/>
          <w:b w:val="0"/>
        </w:rPr>
        <w:t>Пять. Распространённые методы мошенничества с подменой личности</w:t>
      </w:r>
    </w:p>
    <w:p>
      <w:pPr>
        <w:pStyle w:val="ListBullet"/>
        <w:keepLines w:val="0"/>
      </w:pPr>
      <w:r>
        <w:rPr>
          <w:rFonts w:ascii="Noto Sans" w:hAnsi="Noto Sans" w:eastAsia="Arial Unicode MS" w:cs="Noto Sans"/>
          <w:b w:val="0"/>
        </w:rPr>
        <w:t>Использует домены, написания, поддомены или короткие ссылки, крайне похожие на dawnbloom.net, чтобы заманить игроков в регистрацию.</w:t>
      </w:r>
    </w:p>
    <w:p>
      <w:pPr>
        <w:keepLines w:val="0"/>
      </w:pPr>
      <w:r>
        <w:rPr>
          <w:rFonts w:ascii="Noto Sans" w:hAnsi="Noto Sans" w:eastAsia="Arial Unicode MS" w:cs="Noto Sans"/>
          <w:b w:val="0"/>
        </w:rPr>
        <w:t>Фейковые сайты, страницы в магазинах приложений, файлы APK или EXE, обновления браузера, клиенты новостей или почты, инструменты загрузки или архивирования, страницы токенов и сервисы руководства Dawnbloom могут требовать учетные данные или устанавливать вредоносное ПО. Доверяйте только dawnbloom.net и официальным магазинам, на которые он явно ссылается; Google Drive и Baidu Netdisk не являются текущими официальными зеркалами.</w:t>
      </w:r>
    </w:p>
    <w:p>
      <w:pPr>
        <w:pStyle w:val="ListBullet"/>
        <w:keepLines w:val="0"/>
      </w:pPr>
      <w:r>
        <w:rPr>
          <w:rFonts w:ascii="Noto Sans" w:hAnsi="Noto Sans" w:eastAsia="Arial Unicode MS" w:cs="Noto Sans"/>
          <w:b w:val="0"/>
        </w:rPr>
        <w:t>Копируют официальные аватары, логотипы, скрипты службы поддержки и изображения объявлений для создания высокоточных аккаунтов в социальных сетях, групповых чатов или страниц оплаты.</w:t>
      </w:r>
    </w:p>
    <w:p>
      <w:pPr>
        <w:pStyle w:val="ListBullet"/>
        <w:keepLines w:val="0"/>
      </w:pPr>
      <w:r>
        <w:rPr>
          <w:rFonts w:ascii="Noto Sans" w:hAnsi="Noto Sans" w:eastAsia="Arial Unicode MS" w:cs="Noto Sans"/>
          <w:b w:val="0"/>
        </w:rPr>
        <w:t>Выдаёт себя за ГМ, службу поддержки, администраторов, стримеров-партнёров или «внутренний персонал», утверждая о рисках для аккаунта и создавая срочность.</w:t>
      </w:r>
    </w:p>
    <w:p>
      <w:pPr>
        <w:pStyle w:val="ListBullet"/>
        <w:keepLines w:val="0"/>
      </w:pPr>
      <w:r>
        <w:rPr>
          <w:rFonts w:ascii="Noto Sans" w:hAnsi="Noto Sans" w:eastAsia="Arial Unicode MS" w:cs="Noto Sans"/>
          <w:b w:val="0"/>
        </w:rPr>
        <w:t>Использует приманки в виде предложений вроде «бесплатных магических монет», «редких фантомных зверей», «выигранных призов», «квалификации на тестирование», «компенсации за возврат» или «внутренних подарочных наборов» для отправки QR-кодов или ссылок.</w:t>
      </w:r>
    </w:p>
    <w:p>
      <w:pPr>
        <w:pStyle w:val="ListBullet"/>
        <w:keepLines w:val="0"/>
      </w:pPr>
      <w:r>
        <w:rPr>
          <w:rFonts w:ascii="Noto Sans" w:hAnsi="Noto Sans" w:eastAsia="Arial Unicode MS" w:cs="Noto Sans"/>
          <w:b w:val="0"/>
        </w:rPr>
        <w:t>Выдаёт себя за службу поддержки и проактивно добавляет вас в друзья, запрашивая коды подтверждения, скриншоты активов, демонстрацию экрана или переводы.</w:t>
      </w:r>
    </w:p>
    <w:p>
      <w:pPr>
        <w:pStyle w:val="ListBullet"/>
        <w:keepLines w:val="0"/>
      </w:pPr>
      <w:r>
        <w:rPr>
          <w:rFonts w:ascii="Noto Sans" w:hAnsi="Noto Sans" w:eastAsia="Arial Unicode MS" w:cs="Noto Sans"/>
          <w:b w:val="0"/>
        </w:rPr>
        <w:t>Использует украденные аккаунты друзей для отправки ссылок или файлов, делая источник кажущимся легитимным.</w:t>
      </w:r>
    </w:p>
    <w:p>
      <w:pPr>
        <w:pStyle w:val="Heading1"/>
        <w:keepLines w:val="0"/>
      </w:pPr>
      <w:r>
        <w:rPr>
          <w:rFonts w:ascii="Noto Sans" w:hAnsi="Noto Sans" w:eastAsia="Arial Unicode MS" w:cs="Noto Sans"/>
          <w:b w:val="0"/>
        </w:rPr>
        <w:t>Раздел шесть: Безопасность платежей и магазина</w:t>
      </w:r>
    </w:p>
    <w:p>
      <w:pPr>
        <w:keepLines w:val="0"/>
      </w:pPr>
      <w:r>
        <w:rPr>
          <w:rFonts w:ascii="Noto Sans" w:hAnsi="Noto Sans" w:eastAsia="Arial Unicode MS" w:cs="Noto Sans"/>
          <w:b w:val="0"/>
        </w:rPr>
        <w:t>Все официальные цифровые товары, сундуки и другой контент в магазине регулируются отображением на официальном сайте и точками входа в игре. Игроки должны осуществлять платежи через официальный сайт или через указанные сторонние платежные системы/магазины приложений.</w:t>
      </w:r>
    </w:p>
    <w:p>
      <w:pPr>
        <w:keepLines w:val="0"/>
      </w:pPr>
      <w:r>
        <w:rPr>
          <w:rFonts w:ascii="Noto Sans" w:hAnsi="Noto Sans" w:eastAsia="Arial Unicode MS" w:cs="Noto Sans"/>
          <w:b w:val="0"/>
        </w:rPr>
        <w:t xml:space="preserve">Если страница заказа, получатель платежа, сумма, домен или URL перенаправления существенно отличаются от общедоступной информации на официальном сайте, приостановите все транзакции и проверьте их через </w:t>
      </w:r>
      <w:hyperlink r:id="rId18">
        <w:r>
          <w:rPr>
            <w:rFonts w:ascii="Noto Sans" w:hAnsi="Noto Sans" w:eastAsia="Arial Unicode MS"/>
            <w:b w:val="0"/>
          </w:rPr>
          <w:t xml:space="preserve">billing@dawnbloom.net</w:t>
        </w:r>
      </w:hyperlink>
      <w:r>
        <w:rPr>
          <w:rFonts w:ascii="Noto Sans" w:hAnsi="Noto Sans" w:eastAsia="Arial Unicode MS" w:cs="Noto Sans"/>
          <w:b w:val="0"/>
        </w:rPr>
        <w:t xml:space="preserve"> или </w:t>
      </w:r>
      <w:hyperlink r:id="rId16">
        <w:r>
          <w:rPr>
            <w:rFonts w:ascii="Noto Sans" w:hAnsi="Noto Sans" w:eastAsia="Arial Unicode MS"/>
            <w:b w:val="0"/>
          </w:rPr>
          <w:t xml:space="preserve">support@dawnbloom.net</w:t>
        </w:r>
      </w:hyperlink>
      <w:r>
        <w:rPr>
          <w:rFonts w:ascii="Noto Sans" w:hAnsi="Noto Sans" w:eastAsia="Arial Unicode MS" w:cs="Noto Sans"/>
          <w:b w:val="0"/>
        </w:rPr>
        <w:t xml:space="preserve">. Любые офлайн-частные платежи или частные услуги «пополнения внутриигровой валюты» не считаются официальными транзакциями.</w:t>
      </w:r>
    </w:p>
    <w:p>
      <w:pPr>
        <w:pStyle w:val="Heading1"/>
        <w:keepLines w:val="0"/>
      </w:pPr>
      <w:r>
        <w:rPr>
          <w:rFonts w:ascii="Noto Sans" w:hAnsi="Noto Sans" w:eastAsia="Arial Unicode MS" w:cs="Noto Sans"/>
          <w:b w:val="0"/>
        </w:rPr>
        <w:t>Раздел семь: Что делать при получении подозрительных сообщений</w:t>
      </w:r>
    </w:p>
    <w:p>
      <w:pPr>
        <w:pStyle w:val="ListBullet"/>
        <w:keepLines w:val="0"/>
      </w:pPr>
      <w:r>
        <w:rPr>
          <w:rFonts w:ascii="Noto Sans" w:hAnsi="Noto Sans" w:eastAsia="Arial Unicode MS" w:cs="Noto Sans"/>
          <w:b w:val="0"/>
        </w:rPr>
        <w:t>Не продолжайте: Не нажимайте на ссылки, не сканируйте QR-коды, не скачивайте файлы, не вводите информацию об аккаунте и не совершайте платежи.</w:t>
      </w:r>
    </w:p>
    <w:p>
      <w:pPr>
        <w:pStyle w:val="ListBullet"/>
        <w:keepLines w:val="0"/>
      </w:pPr>
      <w:r>
        <w:rPr>
          <w:rFonts w:ascii="Noto Sans" w:hAnsi="Noto Sans" w:eastAsia="Arial Unicode MS" w:cs="Noto Sans"/>
          <w:b w:val="0"/>
        </w:rPr>
        <w:t>Сохраните доказательства: Сохраните главную страницу вашего аккаунта, записи чата, ссылки, QR-коды, страницы переводов, номера заказов и временные метки.</w:t>
      </w:r>
    </w:p>
    <w:p>
      <w:pPr>
        <w:pStyle w:val="ListBullet"/>
        <w:keepLines w:val="0"/>
      </w:pPr>
      <w:r>
        <w:rPr>
          <w:rFonts w:ascii="Noto Sans" w:hAnsi="Noto Sans" w:eastAsia="Arial Unicode MS" w:cs="Noto Sans"/>
          <w:b w:val="0"/>
        </w:rPr>
        <w:t>Введите адрес основного сайта самостоятельно и используйте его навигацию для перехода в Центр игроков, Поддержку или Загрузки. Не полагайтесь на метки ссылок от незнакомцев. Войдите через Центр игроков на основном сайте; откройте восстановление и чувствительные настройки через Управление аккаунтом в Поддержке. Используйте магазин, пополнение и счета на основном сайте для платежей и заказов, проверяя фактическую доступность и любую платформу оплаты на этих страницах.</w:t>
      </w:r>
    </w:p>
    <w:p>
      <w:pPr>
        <w:pStyle w:val="ListBullet"/>
        <w:keepLines w:val="0"/>
      </w:pPr>
      <w:r>
        <w:rPr>
          <w:rFonts w:ascii="Noto Sans" w:hAnsi="Noto Sans" w:eastAsia="Arial Unicode MS" w:cs="Noto Sans"/>
          <w:b w:val="0"/>
        </w:rPr>
        <w:t>Если информация об аккаунте уже введена: немедленно измените пароль, выйдите из всех других активных сеансов и проверьте безопасность связанного email, Apple, Steam, WeChat и других сторонних аккаунтов.</w:t>
      </w:r>
    </w:p>
    <w:p>
      <w:pPr>
        <w:pStyle w:val="ListBullet"/>
        <w:keepLines w:val="0"/>
      </w:pPr>
      <w:r>
        <w:rPr>
          <w:rFonts w:ascii="Noto Sans" w:hAnsi="Noto Sans" w:eastAsia="Arial Unicode MS" w:cs="Noto Sans"/>
          <w:b w:val="0"/>
        </w:rPr>
        <w:t>Если оплата уже произведена: немедленно свяжитесь с платформой оплаты, эмитирующим банком или соответствующим финансовым учреждением для запроса отмены платежа, апелляции или заморозки средств; в случаях, связанных с крупными суммами или подозрительной преступной деятельностью, незамедлительно сообщите об инциденте в местные правоохранительные органы.</w:t>
      </w:r>
    </w:p>
    <w:p>
      <w:pPr>
        <w:pStyle w:val="ListBullet"/>
        <w:keepLines w:val="0"/>
      </w:pPr>
      <w:r>
        <w:rPr>
          <w:rFonts w:ascii="Noto Sans" w:hAnsi="Noto Sans" w:eastAsia="Arial Unicode MS" w:cs="Noto Sans"/>
          <w:b w:val="0"/>
        </w:rPr>
        <w:t>Если обнаружена поддельная учетная запись: сообщите о ней на соответствующей платформе и отправьте ссылку на страницу в официальную службу поддержки для дальнейшей проверки и публичного раскрытия информации.</w:t>
      </w:r>
    </w:p>
    <w:p>
      <w:pPr>
        <w:pStyle w:val="Heading1"/>
        <w:keepLines w:val="0"/>
      </w:pPr>
      <w:r>
        <w:rPr>
          <w:rFonts w:ascii="Noto Sans" w:hAnsi="Noto Sans" w:eastAsia="Arial Unicode MS" w:cs="Noto Sans"/>
          <w:b w:val="0"/>
        </w:rPr>
        <w:t>Восемь. Информация, которую официальный сотрудник может запросить для проверки</w:t>
      </w:r>
    </w:p>
    <w:p>
      <w:pPr>
        <w:keepLines w:val="0"/>
      </w:pPr>
      <w:r>
        <w:rPr>
          <w:rFonts w:ascii="Noto Sans" w:hAnsi="Noto Sans" w:eastAsia="Arial Unicode MS" w:cs="Noto Sans"/>
          <w:b w:val="0"/>
        </w:rPr>
        <w:t>Для решения вопросов, связанных с учетными записями, заказами, кражей аккаунта, аномальными транзакциями или спорами со службой поддержки, официальные представители могут запросить у вас необходимую информацию для верификации, такую как: имя учетной записи, имя персонажа/ID персонажа, номер заказа, время возникновения инцидента, данные устройства или входа, скриншоты из игры, скриншоты соответствующих чатов и вашу контактную информацию, которую вы активно предоставили.</w:t>
      </w:r>
    </w:p>
    <w:p>
      <w:pPr>
        <w:keepLines w:val="0"/>
      </w:pPr>
      <w:r>
        <w:rPr>
          <w:rFonts w:ascii="Noto Sans" w:hAnsi="Noto Sans" w:eastAsia="Arial Unicode MS" w:cs="Noto Sans"/>
          <w:b w:val="0"/>
        </w:rPr>
        <w:t>Мы придерживаемся принципа минимально необходимой данных и не будем запрашивать никакие высокорискованные учетные данные, не имеющие отношения к проблеме. В частности, мы никогда не запросим ваш пароль от учетной записи, пароль для платежей или одноразовый код подтверждения.</w:t>
      </w:r>
    </w:p>
    <w:p>
      <w:pPr>
        <w:pStyle w:val="Heading1"/>
        <w:keepLines w:val="0"/>
      </w:pPr>
      <w:r>
        <w:rPr>
          <w:rFonts w:ascii="Noto Sans" w:hAnsi="Noto Sans" w:eastAsia="Arial Unicode MS" w:cs="Noto Sans"/>
          <w:b w:val="0"/>
        </w:rPr>
        <w:t>Девять. Приоритет официальных коммуникаций</w:t>
      </w:r>
    </w:p>
    <w:p>
      <w:pPr>
        <w:keepLines w:val="0"/>
      </w:pPr>
      <w:r>
        <w:rPr>
          <w:rFonts w:ascii="Noto Sans" w:hAnsi="Noto Sans" w:eastAsia="Arial Unicode MS" w:cs="Noto Sans"/>
          <w:b w:val="0"/>
        </w:rPr>
        <w:t>При возникновении расхождений между информацией, распространенной через различные социальные платформы, пересказами игроков, скриншотами групповых чатов или сторонними веб-сайтами, приоритет имеют официальные объявления на dawnbloom.net, соответствующие юридические документы и официальные уведомления в игре. Индивидуальные заявления игроков, стримеров, администраторов групп, волонтеров, партнеров или членов сообщества не представляют собой официальную позицию DAWNBLOOM(DAWNBLOOM).</w:t>
      </w:r>
    </w:p>
    <w:p>
      <w:pPr>
        <w:pStyle w:val="Heading1"/>
        <w:keepLines w:val="0"/>
      </w:pPr>
      <w:r>
        <w:rPr>
          <w:rFonts w:ascii="Noto Sans" w:hAnsi="Noto Sans" w:eastAsia="Arial Unicode MS" w:cs="Noto Sans"/>
          <w:b w:val="0"/>
        </w:rPr>
        <w:t>Десять. Карточка быстрой идентификации от мошенничества</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Если человек говорит следующее:</w:t>
            </w:r>
          </w:p>
        </w:tc>
        <w:tc>
          <w:tcPr>
            <w:tcW w:type="dxa" w:w="4873"/>
            <w:vAlign w:val="center"/>
            <w:shd w:fill="DCE8F7"/>
          </w:tcPr>
          <w:p>
            <w:pPr>
              <w:keepNext/>
              <w:spacing w:after="40"/>
            </w:pPr>
            <w:r>
              <w:rPr>
                <w:rFonts w:ascii="Noto Sans" w:hAnsi="Noto Sans" w:eastAsia="Arial Unicode MS" w:cs="Noto Sans"/>
                <w:b/>
                <w:sz w:val="17"/>
              </w:rPr>
              <w:t>Ваша первая реакция должна быть:</w:t>
            </w:r>
          </w:p>
        </w:tc>
      </w:tr>
      <w:tr>
        <w:trPr>
          <w:cantSplit/>
        </w:trPr>
        <w:tc>
          <w:tcPr>
            <w:tcW w:type="dxa" w:w="4873"/>
            <w:vAlign w:val="center"/>
          </w:tcPr>
          <w:p>
            <w:pPr>
              <w:spacing w:after="40"/>
            </w:pPr>
            <w:r>
              <w:rPr>
                <w:rFonts w:ascii="Noto Sans" w:hAnsi="Noto Sans" w:eastAsia="Arial Unicode MS" w:cs="Noto Sans"/>
                <w:sz w:val="17"/>
              </w:rPr>
              <w:t>"Аномалия учетной записи — отправьте мне код подтверждения."</w:t>
            </w:r>
          </w:p>
        </w:tc>
        <w:tc>
          <w:tcPr>
            <w:tcW w:type="dxa" w:w="4873"/>
            <w:vAlign w:val="center"/>
          </w:tcPr>
          <w:p>
            <w:pPr>
              <w:spacing w:after="40"/>
            </w:pPr>
            <w:r>
              <w:rPr>
                <w:rFonts w:ascii="Noto Sans" w:hAnsi="Noto Sans" w:eastAsia="Arial Unicode MS" w:cs="Noto Sans"/>
                <w:sz w:val="17"/>
              </w:rPr>
              <w:t>Не отправляйте. Официальные каналы никогда не запросят одноразовый код подтверждения.</w:t>
            </w:r>
          </w:p>
        </w:tc>
      </w:tr>
      <w:tr>
        <w:trPr>
          <w:cantSplit/>
        </w:trPr>
        <w:tc>
          <w:tcPr>
            <w:tcW w:type="dxa" w:w="4873"/>
            <w:vAlign w:val="center"/>
          </w:tcPr>
          <w:p>
            <w:pPr>
              <w:spacing w:after="40"/>
            </w:pPr>
            <w:r>
              <w:rPr>
                <w:rFonts w:ascii="Noto Sans" w:hAnsi="Noto Sans" w:eastAsia="Arial Unicode MS" w:cs="Noto Sans"/>
                <w:sz w:val="17"/>
              </w:rPr>
              <w:t>"Сначала переведите средства; после возврата мы вместе вернем деньги."</w:t>
            </w:r>
          </w:p>
        </w:tc>
        <w:tc>
          <w:tcPr>
            <w:tcW w:type="dxa" w:w="4873"/>
            <w:vAlign w:val="center"/>
          </w:tcPr>
          <w:p>
            <w:pPr>
              <w:spacing w:after="40"/>
            </w:pPr>
            <w:r>
              <w:rPr>
                <w:rFonts w:ascii="Noto Sans" w:hAnsi="Noto Sans" w:eastAsia="Arial Unicode MS" w:cs="Noto Sans"/>
                <w:sz w:val="17"/>
              </w:rPr>
              <w:t>Не платите. Официальные возвраты средств никогда не потребуют от вас сначала перевести деньги на личный счет.</w:t>
            </w:r>
          </w:p>
        </w:tc>
      </w:tr>
      <w:tr>
        <w:trPr>
          <w:cantSplit/>
        </w:trPr>
        <w:tc>
          <w:tcPr>
            <w:tcW w:type="dxa" w:w="4873"/>
            <w:vAlign w:val="center"/>
          </w:tcPr>
          <w:p>
            <w:pPr>
              <w:spacing w:after="40"/>
            </w:pPr>
            <w:r>
              <w:rPr>
                <w:rFonts w:ascii="Noto Sans" w:hAnsi="Noto Sans" w:eastAsia="Arial Unicode MS" w:cs="Noto Sans"/>
                <w:sz w:val="17"/>
              </w:rPr>
              <w:t>"Переведите своих фантомных зверей или оборудование на безопасный аккаунт для проверки."</w:t>
            </w:r>
          </w:p>
        </w:tc>
        <w:tc>
          <w:tcPr>
            <w:tcW w:type="dxa" w:w="4873"/>
            <w:vAlign w:val="center"/>
          </w:tcPr>
          <w:p>
            <w:pPr>
              <w:spacing w:after="40"/>
            </w:pPr>
            <w:r>
              <w:rPr>
                <w:rFonts w:ascii="Noto Sans" w:hAnsi="Noto Sans" w:eastAsia="Arial Unicode MS" w:cs="Noto Sans"/>
                <w:sz w:val="17"/>
              </w:rPr>
              <w:t>Не переводите. Официальные каналы никогда не запросят проверку активов через учетные записи игровых персонажей.</w:t>
            </w:r>
          </w:p>
        </w:tc>
      </w:tr>
      <w:tr>
        <w:trPr>
          <w:cantSplit/>
        </w:trPr>
        <w:tc>
          <w:tcPr>
            <w:tcW w:type="dxa" w:w="4873"/>
            <w:vAlign w:val="center"/>
          </w:tcPr>
          <w:p>
            <w:pPr>
              <w:spacing w:after="40"/>
            </w:pPr>
            <w:r>
              <w:rPr>
                <w:rFonts w:ascii="Noto Sans" w:hAnsi="Noto Sans" w:eastAsia="Arial Unicode MS" w:cs="Noto Sans"/>
                <w:sz w:val="17"/>
              </w:rPr>
              <w:t>"Нажмите на эту ссылку, чтобы войти и получить награду."</w:t>
            </w:r>
          </w:p>
        </w:tc>
        <w:tc>
          <w:tcPr>
            <w:tcW w:type="dxa" w:w="4873"/>
            <w:vAlign w:val="center"/>
          </w:tcPr>
          <w:p>
            <w:pPr>
              <w:spacing w:after="40"/>
            </w:pPr>
            <w:r>
              <w:rPr>
                <w:rFonts w:ascii="Noto Sans" w:hAnsi="Noto Sans" w:eastAsia="Arial Unicode MS" w:cs="Noto Sans"/>
                <w:sz w:val="17"/>
              </w:rPr>
              <w:t>Сначала проверьте, что ссылка принадлежит домену dawnbloom.net или явно указана в качестве официального источника на официальном сайте.</w:t>
            </w:r>
          </w:p>
        </w:tc>
      </w:tr>
      <w:tr>
        <w:trPr>
          <w:cantSplit/>
        </w:trPr>
        <w:tc>
          <w:tcPr>
            <w:tcW w:type="dxa" w:w="4873"/>
            <w:vAlign w:val="center"/>
          </w:tcPr>
          <w:p>
            <w:pPr>
              <w:spacing w:after="40"/>
            </w:pPr>
            <w:r>
              <w:rPr>
                <w:rFonts w:ascii="Noto Sans" w:hAnsi="Noto Sans" w:eastAsia="Arial Unicode MS" w:cs="Noto Sans"/>
                <w:sz w:val="17"/>
              </w:rPr>
              <w:t>"Я ГМ; добавьте мой личный контакт для обработки."</w:t>
            </w:r>
          </w:p>
        </w:tc>
        <w:tc>
          <w:tcPr>
            <w:tcW w:type="dxa" w:w="4873"/>
            <w:vAlign w:val="center"/>
          </w:tcPr>
          <w:p>
            <w:pPr>
              <w:spacing w:after="40"/>
            </w:pPr>
            <w:r>
              <w:rPr>
                <w:rFonts w:ascii="Noto Sans" w:hAnsi="Noto Sans" w:eastAsia="Arial Unicode MS" w:cs="Noto Sans"/>
                <w:sz w:val="17"/>
              </w:rPr>
              <w:t>Всегда сначала обращайтесь к порталу обслуживания клиентов на официальном сайте и проверяйте личность лица, утверждающего, что является ГМ.</w:t>
            </w:r>
          </w:p>
        </w:tc>
      </w:tr>
      <w:tr>
        <w:trPr>
          <w:cantSplit/>
        </w:trPr>
        <w:tc>
          <w:tcPr>
            <w:tcW w:type="dxa" w:w="4873"/>
            <w:vAlign w:val="center"/>
          </w:tcPr>
          <w:p>
            <w:pPr>
              <w:spacing w:after="40"/>
            </w:pPr>
            <w:r>
              <w:rPr>
                <w:rFonts w:ascii="Noto Sans" w:hAnsi="Noto Sans" w:eastAsia="Arial Unicode MS" w:cs="Noto Sans"/>
                <w:sz w:val="17"/>
              </w:rPr>
              <w:t>"Мы навсегда накажем вас, если не примем меры немедленно."</w:t>
            </w:r>
          </w:p>
        </w:tc>
        <w:tc>
          <w:tcPr>
            <w:tcW w:type="dxa" w:w="4873"/>
            <w:vAlign w:val="center"/>
          </w:tcPr>
          <w:p>
            <w:pPr>
              <w:spacing w:after="40"/>
            </w:pPr>
            <w:r>
              <w:rPr>
                <w:rFonts w:ascii="Noto Sans" w:hAnsi="Noto Sans" w:eastAsia="Arial Unicode MS" w:cs="Noto Sans"/>
                <w:sz w:val="17"/>
              </w:rPr>
              <w:t>Не поддавайтесь на давление. Немедленно прекратите любые действия и проверьте информацию через официальный сайт.</w:t>
            </w:r>
          </w:p>
        </w:tc>
      </w:tr>
    </w:tbl>
    <w:p>
      <w:pPr>
        <w:spacing w:after="40"/>
      </w:pPr>
    </w:p>
    <w:p>
      <w:pPr>
        <w:pStyle w:val="Heading1"/>
        <w:keepLines w:val="0"/>
      </w:pPr>
      <w:r>
        <w:rPr>
          <w:rFonts w:ascii="Noto Sans" w:hAnsi="Noto Sans" w:eastAsia="Arial Unicode MS" w:cs="Noto Sans"/>
          <w:b w:val="0"/>
        </w:rPr>
        <w:t>Пожалуйста, запомните</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Настоящие официальные каналы не боятся, когда вы «сначала проверяете на официальном сайте». К любому, кто призывает вас обойти официальный сайт, платформу или стандартные процессы оплаты, следует относиться с осторожностью.</w:t>
              <w:br/>
              <w:br/>
              <w:t>Если вы сомневаетесь в подлинности сообщения, прекратите все действия и проверьте его через support@dawnbloom.net или https://dawnbloom.net.</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net/zh/" TargetMode="External"/><Relationship Id="rId13" Type="http://schemas.openxmlformats.org/officeDocument/2006/relationships/hyperlink" Target="https://dawnbloom.net/ja/" TargetMode="External"/><Relationship Id="rId14" Type="http://schemas.openxmlformats.org/officeDocument/2006/relationships/hyperlink" Target="https://dawnbloom.kr" TargetMode="External"/><Relationship Id="rId15" Type="http://schemas.openxmlformats.org/officeDocument/2006/relationships/hyperlink" Target="https://dawnbloom.net/kr/." TargetMode="External"/><Relationship Id="rId16" Type="http://schemas.openxmlformats.org/officeDocument/2006/relationships/hyperlink" Target="mailto:support@dawnbloom.net" TargetMode="External"/><Relationship Id="rId17" Type="http://schemas.openxmlformats.org/officeDocument/2006/relationships/hyperlink" Target="mailto:hello@dawnbloom.net" TargetMode="External"/><Relationship Id="rId18" Type="http://schemas.openxmlformats.org/officeDocument/2006/relationships/hyperlink" Target="mailto:billing@dawnbloom.net" TargetMode="External"/><Relationship Id="rId19" Type="http://schemas.openxmlformats.org/officeDocument/2006/relationships/hyperlink" Target="mailto:contact@dawnbloom.net" TargetMode="External"/><Relationship Id="rId20" Type="http://schemas.openxmlformats.org/officeDocument/2006/relationships/hyperlink" Target="mailto:legal@dawnbloom.net" TargetMode="External"/><Relationship Id="rId21" Type="http://schemas.openxmlformats.org/officeDocument/2006/relationships/hyperlink" Target="mailto:security@dawnbloom.net" TargetMode="External"/><Relationship Id="rId22" Type="http://schemas.openxmlformats.org/officeDocument/2006/relationships/hyperlink" Target="https://dawnbloom.net/zh/player-center/" TargetMode="External"/><Relationship Id="rId23" Type="http://schemas.openxmlformats.org/officeDocument/2006/relationships/hyperlink" Target="https://dawnbloom.net/zh/support/account/" TargetMode="External"/><Relationship Id="rId24" Type="http://schemas.openxmlformats.org/officeDocument/2006/relationships/hyperlink" Target="https://dawnbloom.net/zh/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Официальный канал DAWNBLOOM &amp; Уведомление об анти-мошенничестве</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