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Политика DAWNBLOOM в отношении файлов cookie и аналогичных технологий</w:t>
      </w:r>
    </w:p>
    <w:p>
      <w:pPr>
        <w:keepLines w:val="0"/>
      </w:pPr>
      <w:r>
        <w:rPr>
          <w:rFonts w:ascii="Noto Sans" w:hAnsi="Noto Sans" w:eastAsia="Noto Sans TC" w:cs="Noto Sans"/>
          <w:b w:val="0"/>
        </w:rPr>
        <w:t>Политика в отношении файлов cookie и аналогичных технологий · Официальная версия</w:t>
      </w:r>
    </w:p>
    <w:p>
      <w:pPr>
        <w:keepLines w:val="0"/>
      </w:pPr>
      <w:r>
        <w:rPr>
          <w:rFonts w:ascii="Noto Sans" w:hAnsi="Noto Sans" w:eastAsia="Noto Sans TC" w:cs="Noto Sans"/>
          <w:b w:val="0"/>
        </w:rPr>
        <w:t xml:space="preserve">Версия: V7  </w:t>
      </w:r>
    </w:p>
    <w:p>
      <w:pPr>
        <w:keepLines w:val="0"/>
      </w:pPr>
      <w:r>
        <w:rPr>
          <w:rFonts w:ascii="Noto Sans" w:hAnsi="Noto Sans" w:eastAsia="Noto Sans TC" w:cs="Noto Sans"/>
          <w:b w:val="0"/>
        </w:rPr>
        <w:t>Дата вступления в силу: 9 октября 2026 г.</w:t>
      </w:r>
    </w:p>
    <w:p>
      <w:pPr>
        <w:keepLines w:val="0"/>
      </w:pPr>
      <w:r>
        <w:rPr>
          <w:rFonts w:ascii="Noto Sans" w:hAnsi="Noto Sans" w:eastAsia="Noto Sans TC" w:cs="Noto Sans"/>
          <w:b w:val="0"/>
        </w:rPr>
        <w:t xml:space="preserve">Обновлено: 9 октября 2026 г.  </w:t>
      </w:r>
    </w:p>
    <w:p>
      <w:pPr>
        <w:keepLines w:val="0"/>
      </w:pPr>
      <w:r>
        <w:rPr>
          <w:rFonts w:ascii="Noto Sans" w:hAnsi="Noto Sans" w:eastAsia="Noto Sans TC" w:cs="Noto Sans"/>
          <w:b w:val="0"/>
        </w:rPr>
      </w:r>
    </w:p>
    <w:p>
      <w:pPr>
        <w:keepLines w:val="0"/>
      </w:pPr>
      <w:r>
        <w:rPr>
          <w:rFonts w:ascii="Noto Sans" w:hAnsi="Noto Sans" w:eastAsia="Noto Sans TC" w:cs="Noto Sans"/>
          <w:b w:val="0"/>
        </w:rPr>
        <w:t>Применимость: dawnbloom.net, официальные поддомены, DAWNBLOOM Community и связанные веб-сервисы</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Noto Sans TC" w:cs="Noto Sans"/>
                <w:sz w:val="17"/>
              </w:rPr>
              <w:t>Текущие принципы проектирования:</w:t>
              <w:br/>
              <w:t>DAWNBLOOM в настоящее время не интегрирует сторонние инструменты маркетингового отслеживания, такие как Google Analytics или Meta Pixel. Информация о пользователях не будет продаваться и не будет передаваться платформам поведенческой рекламы между сайтами или контекстами. Файлы cookie для таргетированной рекламы не будут устанавливаться. Таким образом, данная политика ограничивает использование файлов cookie и аналогичных технологий теми, которые необходимы для управления учетной записью, использования форума, функций магазина, языковых предпочтений и защиты безопасности.</w:t>
            </w:r>
          </w:p>
        </w:tc>
      </w:tr>
    </w:tbl>
    <w:p>
      <w:pPr>
        <w:spacing w:after="40"/>
      </w:pPr>
    </w:p>
    <w:p>
      <w:pPr>
        <w:pStyle w:val="Heading1"/>
        <w:keepLines w:val="0"/>
      </w:pPr>
      <w:r>
        <w:rPr>
          <w:rFonts w:ascii="Noto Sans" w:hAnsi="Noto Sans" w:eastAsia="Noto Sans TC" w:cs="Noto Sans"/>
          <w:b w:val="0"/>
        </w:rPr>
        <w:t>Краткое изложение: Как мы используем файлы cookie</w:t>
      </w:r>
    </w:p>
    <w:p>
      <w:pPr>
        <w:pStyle w:val="ListBullet"/>
        <w:keepLines w:val="0"/>
      </w:pPr>
      <w:r>
        <w:rPr>
          <w:rFonts w:ascii="Noto Sans" w:hAnsi="Noto Sans" w:eastAsia="Noto Sans TC" w:cs="Noto Sans"/>
          <w:b w:val="0"/>
        </w:rPr>
        <w:t>Мы используем хранилище браузера первой стороны (first-party) для поддержания сеансов входа и сообщества, защиты запросов, запоминания выбранного вами языка сайта и настроек мини-игр. Состояния транзакций магазина в настоящее время не включены.</w:t>
      </w:r>
    </w:p>
    <w:p>
      <w:pPr>
        <w:pStyle w:val="ListBullet"/>
        <w:keepLines w:val="0"/>
      </w:pPr>
      <w:r>
        <w:rPr>
          <w:rFonts w:ascii="Noto Sans" w:hAnsi="Noto Sans" w:eastAsia="Noto Sans TC" w:cs="Noto Sans"/>
          <w:b w:val="0"/>
        </w:rPr>
        <w:t>В настоящее время мы не используем рекламные файлы cookie, не обслуживаем поведенческую рекламу между сайтами и не развертываем Google Analytics или Meta Pixel.</w:t>
      </w:r>
    </w:p>
    <w:p>
      <w:pPr>
        <w:pStyle w:val="ListBullet"/>
        <w:keepLines w:val="0"/>
      </w:pPr>
      <w:r>
        <w:rPr>
          <w:rFonts w:ascii="Noto Sans" w:hAnsi="Noto Sans" w:eastAsia="Noto Sans TC" w:cs="Noto Sans"/>
          <w:b w:val="0"/>
        </w:rPr>
        <w:t>Cloudflare, выступающий в качестве поставщика услуг DNS/CDN/безопасности, может устанавливать необходимые файлы cookie безопасности при включении таких функций, как проверки безопасности, Bot Fight и ограничение скорости, исходя из фактической конфигурации.</w:t>
      </w:r>
    </w:p>
    <w:p>
      <w:pPr>
        <w:pStyle w:val="ListBullet"/>
        <w:keepLines w:val="0"/>
      </w:pPr>
      <w:r>
        <w:rPr>
          <w:rFonts w:ascii="Noto Sans" w:hAnsi="Noto Sans" w:eastAsia="Noto Sans TC" w:cs="Noto Sans"/>
          <w:b w:val="0"/>
        </w:rPr>
        <w:t>Вы можете очистить или заблокировать файлы cookie в своем браузере. Блокировка элементов, необходимых для входа в систему и безопасности, может предотвратить вход в систему, завершить сеанс сообщества или повторно вызвать проверку безопасности.</w:t>
      </w:r>
    </w:p>
    <w:p>
      <w:pPr>
        <w:pStyle w:val="ListBullet"/>
        <w:keepLines w:val="0"/>
      </w:pPr>
      <w:r>
        <w:rPr>
          <w:rFonts w:ascii="Noto Sans" w:hAnsi="Noto Sans" w:eastAsia="Noto Sans TC" w:cs="Noto Sans"/>
          <w:b w:val="0"/>
        </w:rPr>
        <w:t>В будущем, если мы внедрим аналитические, рекламные или другие технологии отслеживания, не являющиеся необходимыми, мы сначала обновим эту политику и, где это требуется применимым законодательством, предоставим пользователям механизмы для согласия, отказа от участия или отзыва такого использования.</w:t>
      </w:r>
    </w:p>
    <w:p>
      <w:pPr>
        <w:pStyle w:val="Heading1"/>
        <w:keepLines w:val="0"/>
      </w:pPr>
      <w:r>
        <w:rPr>
          <w:rFonts w:ascii="Noto Sans" w:hAnsi="Noto Sans" w:eastAsia="Noto Sans TC" w:cs="Noto Sans"/>
          <w:b w:val="0"/>
        </w:rPr>
        <w:t>1. Область применения и связь с настоящей Политикой</w:t>
      </w:r>
    </w:p>
    <w:p>
      <w:pPr>
        <w:keepLines w:val="0"/>
      </w:pPr>
      <w:r>
        <w:rPr>
          <w:rFonts w:ascii="Noto Sans" w:hAnsi="Noto Sans" w:eastAsia="Noto Sans TC" w:cs="Noto Sans"/>
          <w:b w:val="0"/>
        </w:rPr>
        <w:t xml:space="preserve">Данная Политика применяется к глобальному основному сайту dawnbloom.net и официальным субдоменам, площадкам DAWNBLOOM Community, аккаунтам, служебной поддержке, страницам загрузки и магазина, а также к соответствующим технологиям на страницах перенаправления для региональных языков dawnbloom.com.cn и dawnbloom.jp с их версиями www. Официальные корейские домены dawnbloom.kr и www.dawnbloom.kr используют HTTPS-перенаправление 301 на </w:t>
      </w:r>
      <w:hyperlink r:id="rId11">
        <w:r>
          <w:rPr>
            <w:rFonts w:ascii="Noto Sans" w:hAnsi="Noto Sans" w:eastAsia="Noto Sans TC"/>
            <w:b w:val="0"/>
          </w:rPr>
          <w:t xml:space="preserve">https://dawnbloom.net/kr/.</w:t>
        </w:r>
      </w:hyperlink>
      <w:r>
        <w:rPr>
          <w:rFonts w:ascii="Noto Sans" w:hAnsi="Noto Sans" w:eastAsia="Noto Sans TC" w:cs="Noto Sans"/>
          <w:b w:val="0"/>
        </w:rPr>
        <w:t xml:space="preserve"> Изменения в DNS могут распространяться с задержкой. Они используют единый веб-сайт и не создают отдельного сайта, аккаунта, базы данных или сервера корейской версии игры. Региональные домены не имеют отдельных бизнес-страниц. Оба региональных домена являются общедоступными и используют HTTPS-перенаправление 301 соответственно на основные пути китайского и японского сайтов. Стандартные ответы перенаправления не устанавливают отдельные бизнес-куки, не предоставляют независимые страницы или скрипты аналитики. Конфигурация отчета об ошибках сети Cloudflare все же может включать необходимые сетевые данные; конкретные журналы и настройки безопасности зависят от фактической конфигурации службы. Перенаправление не означает, что данные доступа не обрабатываются; необходимые безопасные куки зависят от фактической конфигурации и посещения. Данная Политика не придумывает имена куки или периоды хранения, специфичные для конкретных входов. После перехода на основной сайт сеансы и хранение языка следуют текущему перечню ниже. См. уведомление о борьбе с мошенничеством для существующих записей защиты бренда. Куки и данные WebView/WebKit с сторонних сайтов, посещенных в браузере, не являются первичными куки основного сайта; единый Политика конфиденциальности, Условия использования Браузера и политики этих сайтов объясняют их обработку.</w:t>
      </w:r>
    </w:p>
    <w:p>
      <w:pPr>
        <w:keepLines w:val="0"/>
      </w:pPr>
      <w:r>
        <w:rPr>
          <w:rFonts w:ascii="Noto Sans" w:hAnsi="Noto Sans" w:eastAsia="Noto Sans TC" w:cs="Noto Sans"/>
          <w:b w:val="0"/>
        </w:rPr>
        <w:t>Семь страниц продуктов сайта, страницы статуса загрузки, поддержка и юридические страницы входят в эту политику сайта. Локальные данные просмотра, предпочтения новостей, почты или файлов в приложении не становятся куки сайта просто потому, что это продукт DAWNBLOOM; см. политику конфиденциальности для каждой границы.</w:t>
      </w:r>
    </w:p>
    <w:p>
      <w:pPr>
        <w:keepLines w:val="0"/>
      </w:pPr>
      <w:r>
        <w:rPr>
          <w:rFonts w:ascii="Noto Sans" w:hAnsi="Noto Sans" w:eastAsia="Noto Sans TC" w:cs="Noto Sans"/>
          <w:b w:val="0"/>
        </w:rPr>
        <w:t>Настоящая Политика дополняет Политику конфиденциальности DAWNBLOOM для файлов cookie сайта. Обработка персональных данных остается предметом этой Политики и применимого законодательства. В случае конфликта применяется законное правило, обеспечивающее большую защиту прав пользователей.</w:t>
      </w:r>
    </w:p>
    <w:p>
      <w:pPr>
        <w:keepLines w:val="0"/>
      </w:pPr>
      <w:r>
        <w:rPr>
          <w:rFonts w:ascii="Noto Sans" w:hAnsi="Noto Sans" w:eastAsia="Noto Sans TC" w:cs="Noto Sans"/>
          <w:b w:val="0"/>
        </w:rPr>
        <w:t>Третьи стороны, такие как Steam, Apple, WeChat, Alipay, UnionPay, Visa, Mastercard, WhatsApp, Facebook, Instagram, YouTube могут использовать Cookies или аналогичные технологии на своих доменах, страницах, SDK или внутри потоков оплаты/авторизации. Такое использование регулируется собственными политиками соответствующих третьих лиц.</w:t>
      </w:r>
    </w:p>
    <w:p>
      <w:pPr>
        <w:pStyle w:val="Heading1"/>
        <w:keepLines w:val="0"/>
      </w:pPr>
      <w:r>
        <w:rPr>
          <w:rFonts w:ascii="Noto Sans" w:hAnsi="Noto Sans" w:eastAsia="Noto Sans TC" w:cs="Noto Sans"/>
          <w:b w:val="0"/>
        </w:rPr>
        <w:t>2. Что такое файлы cookie и «аналогичные технологии»?</w:t>
      </w:r>
    </w:p>
    <w:p>
      <w:pPr>
        <w:keepLines w:val="0"/>
      </w:pPr>
      <w:r>
        <w:rPr>
          <w:rFonts w:ascii="Noto Sans" w:hAnsi="Noto Sans" w:eastAsia="Noto Sans TC" w:cs="Noto Sans"/>
          <w:b w:val="0"/>
        </w:rPr>
        <w:t>Файл cookie — это небольшой фрагмент данных, который веб-сайт сохраняет на вашем устройстве через браузер. Он обычно используется для идентификации сеанса, поддержания статуса входа в систему, запоминания пользовательских настроек, защиты сайта от злоупотреблений или завершения процессов оформления заказа.</w:t>
      </w:r>
    </w:p>
    <w:p>
      <w:pPr>
        <w:keepLines w:val="0"/>
      </w:pPr>
      <w:r>
        <w:rPr>
          <w:rFonts w:ascii="Noto Sans" w:hAnsi="Noto Sans" w:eastAsia="Noto Sans TC" w:cs="Noto Sans"/>
          <w:b w:val="0"/>
        </w:rPr>
        <w:t>"Подобные технологии" включают, но не ограничиваются: локальное хранилище браузера (Local Storage), сессионное хранилище (Session Storage), безопасные токены, идентификаторы устройств или браузеров и другие механизмы веб-хранилища или идентификации, используемые для достижения аналогичных функций.</w:t>
      </w:r>
    </w:p>
    <w:p>
      <w:pPr>
        <w:keepLines w:val="0"/>
      </w:pPr>
      <w:r>
        <w:rPr>
          <w:rFonts w:ascii="Noto Sans" w:hAnsi="Noto Sans" w:eastAsia="Noto Sans TC" w:cs="Noto Sans"/>
          <w:b w:val="0"/>
        </w:rPr>
        <w:t>Согласно публичным рекомендациям Комиссии по защите персональной информации Японии, идентификаторы устройств, такие как файлы cookie, могут по-прежнему относиться к информации, относящейся к физическим лицам (personally referable information), если они не являются непосредственно персональной информацией (personal information). Если их можно легко объединить с другой информацией для идентификации конкретного лица, такая комбинированная информация может считаться персональной информацией (personal information). Поэтому мы не предполагаем, что файлы cookie не являются персональной информацией (personal information).</w:t>
      </w:r>
    </w:p>
    <w:p>
      <w:pPr>
        <w:pStyle w:val="Heading1"/>
        <w:keepLines w:val="0"/>
      </w:pPr>
      <w:r>
        <w:rPr>
          <w:rFonts w:ascii="Noto Sans" w:hAnsi="Noto Sans" w:eastAsia="Noto Sans TC" w:cs="Noto Sans"/>
          <w:b w:val="0"/>
        </w:rPr>
        <w:t>3. Типы технологий, которые мы в настоящее время используем</w:t>
      </w:r>
    </w:p>
    <w:tbl>
      <w:tblPr>
        <w:tblStyle w:val="TableGrid"/>
        <w:tblW w:type="auto" w:w="0"/>
        <w:tblLayout w:type="autofit"/>
        <w:tblLook w:firstColumn="1" w:firstRow="1" w:lastColumn="0" w:lastRow="0" w:noHBand="0" w:noVBand="1" w:val="04A0"/>
      </w:tblPr>
      <w:tblGrid>
        <w:gridCol w:w="1949"/>
        <w:gridCol w:w="1949"/>
        <w:gridCol w:w="1949"/>
        <w:gridCol w:w="1949"/>
        <w:gridCol w:w="1949"/>
      </w:tblGrid>
      <w:tr>
        <w:trPr>
          <w:cantSplit/>
          <w:tblHeader/>
        </w:trPr>
        <w:tc>
          <w:tcPr>
            <w:tcW w:type="dxa" w:w="1949"/>
            <w:vAlign w:val="center"/>
            <w:shd w:fill="DCE8F7"/>
          </w:tcPr>
          <w:p>
            <w:pPr>
              <w:keepNext/>
              <w:spacing w:after="40"/>
            </w:pPr>
            <w:r>
              <w:rPr>
                <w:rFonts w:ascii="Noto Sans" w:hAnsi="Noto Sans" w:eastAsia="Noto Sans TC" w:cs="Noto Sans"/>
                <w:b/>
                <w:sz w:val="17"/>
              </w:rPr>
              <w:t>Категории</w:t>
            </w:r>
          </w:p>
        </w:tc>
        <w:tc>
          <w:tcPr>
            <w:tcW w:type="dxa" w:w="1949"/>
            <w:vAlign w:val="center"/>
            <w:shd w:fill="DCE8F7"/>
          </w:tcPr>
          <w:p>
            <w:pPr>
              <w:keepNext/>
              <w:spacing w:after="40"/>
            </w:pPr>
            <w:r>
              <w:rPr>
                <w:rFonts w:ascii="Noto Sans" w:hAnsi="Noto Sans" w:eastAsia="Noto Sans TC" w:cs="Noto Sans"/>
                <w:b/>
                <w:sz w:val="17"/>
              </w:rPr>
              <w:t>Типичные случаи использования</w:t>
            </w:r>
          </w:p>
        </w:tc>
        <w:tc>
          <w:tcPr>
            <w:tcW w:type="dxa" w:w="1949"/>
            <w:vAlign w:val="center"/>
            <w:shd w:fill="DCE8F7"/>
          </w:tcPr>
          <w:p>
            <w:pPr>
              <w:keepNext/>
              <w:spacing w:after="40"/>
            </w:pPr>
            <w:r>
              <w:rPr>
                <w:rFonts w:ascii="Noto Sans" w:hAnsi="Noto Sans" w:eastAsia="Noto Sans TC" w:cs="Noto Sans"/>
                <w:b/>
                <w:sz w:val="17"/>
              </w:rPr>
              <w:t>Текущий статус</w:t>
            </w:r>
          </w:p>
        </w:tc>
        <w:tc>
          <w:tcPr>
            <w:tcW w:type="dxa" w:w="1949"/>
            <w:vAlign w:val="center"/>
            <w:shd w:fill="DCE8F7"/>
          </w:tcPr>
          <w:p>
            <w:pPr>
              <w:keepNext/>
              <w:spacing w:after="40"/>
            </w:pPr>
            <w:r>
              <w:rPr>
                <w:rFonts w:ascii="Noto Sans" w:hAnsi="Noto Sans" w:eastAsia="Noto Sans TC" w:cs="Noto Sans"/>
                <w:b/>
                <w:sz w:val="17"/>
              </w:rPr>
              <w:t>Может быть отключено</w:t>
            </w:r>
          </w:p>
        </w:tc>
        <w:tc>
          <w:tcPr>
            <w:tcW w:type="dxa" w:w="1949"/>
            <w:vAlign w:val="center"/>
            <w:shd w:fill="DCE8F7"/>
          </w:tcPr>
          <w:p>
            <w:pPr>
              <w:keepNext/>
              <w:spacing w:after="40"/>
            </w:pPr>
            <w:r>
              <w:rPr>
                <w:rFonts w:ascii="Noto Sans" w:hAnsi="Noto Sans" w:eastAsia="Noto Sans TC" w:cs="Noto Sans"/>
                <w:b/>
                <w:sz w:val="17"/>
              </w:rPr>
              <w:t>Принципы хранения и сохранения</w:t>
            </w:r>
          </w:p>
        </w:tc>
      </w:tr>
      <w:tr>
        <w:trPr>
          <w:cantSplit/>
        </w:trPr>
        <w:tc>
          <w:tcPr>
            <w:tcW w:type="dxa" w:w="1949"/>
            <w:vAlign w:val="center"/>
          </w:tcPr>
          <w:p>
            <w:pPr>
              <w:spacing w:after="40"/>
            </w:pPr>
            <w:r>
              <w:rPr>
                <w:rFonts w:ascii="Noto Sans" w:hAnsi="Noto Sans" w:eastAsia="Noto Sans TC" w:cs="Noto Sans"/>
                <w:sz w:val="17"/>
              </w:rPr>
              <w:t>Строго необходимые / Безопасность</w:t>
            </w:r>
          </w:p>
        </w:tc>
        <w:tc>
          <w:tcPr>
            <w:tcW w:type="dxa" w:w="1949"/>
            <w:vAlign w:val="center"/>
          </w:tcPr>
          <w:p>
            <w:pPr>
              <w:spacing w:after="40"/>
            </w:pPr>
            <w:r>
              <w:rPr>
                <w:rFonts w:ascii="Noto Sans" w:hAnsi="Noto Sans" w:eastAsia="Noto Sans TC" w:cs="Noto Sans"/>
                <w:sz w:val="17"/>
              </w:rPr>
              <w:t>Сеансы входа, проверка подлинности, защита от CSRF/атак повторного воспроизведения, задачи безопасности, ограничение частоты запросов, управление сеансами форума и процессы транзакций в магазине</w:t>
            </w:r>
          </w:p>
        </w:tc>
        <w:tc>
          <w:tcPr>
            <w:tcW w:type="dxa" w:w="1949"/>
            <w:vAlign w:val="center"/>
          </w:tcPr>
          <w:p>
            <w:pPr>
              <w:spacing w:after="40"/>
            </w:pPr>
            <w:r>
              <w:rPr>
                <w:rFonts w:ascii="Noto Sans" w:hAnsi="Noto Sans" w:eastAsia="Noto Sans TC" w:cs="Noto Sans"/>
                <w:sz w:val="17"/>
              </w:rPr>
              <w:t>Используется в реальных контекстах входа в систему/безопасности; хранение транзакций не включено</w:t>
            </w:r>
          </w:p>
        </w:tc>
        <w:tc>
          <w:tcPr>
            <w:tcW w:type="dxa" w:w="1949"/>
            <w:vAlign w:val="center"/>
          </w:tcPr>
          <w:p>
            <w:pPr>
              <w:spacing w:after="40"/>
            </w:pPr>
            <w:r>
              <w:rPr>
                <w:rFonts w:ascii="Noto Sans" w:hAnsi="Noto Sans" w:eastAsia="Noto Sans TC" w:cs="Noto Sans"/>
                <w:sz w:val="17"/>
              </w:rPr>
              <w:t>Обычно не может быть отменено во время использования основных функций</w:t>
            </w:r>
          </w:p>
        </w:tc>
        <w:tc>
          <w:tcPr>
            <w:tcW w:type="dxa" w:w="1949"/>
            <w:vAlign w:val="center"/>
          </w:tcPr>
          <w:p>
            <w:pPr>
              <w:spacing w:after="40"/>
            </w:pPr>
            <w:r>
              <w:rPr>
                <w:rFonts w:ascii="Noto Sans" w:hAnsi="Noto Sans" w:eastAsia="Noto Sans TC" w:cs="Noto Sans"/>
                <w:sz w:val="17"/>
              </w:rPr>
              <w:t>Наименьший разумный срок, необходимый во время сеанса или для достижения целей безопасности/транзакций; конкретные периоды хранения будут определены в официальном списке файлов cookie</w:t>
            </w:r>
          </w:p>
        </w:tc>
      </w:tr>
      <w:tr>
        <w:trPr>
          <w:cantSplit/>
        </w:trPr>
        <w:tc>
          <w:tcPr>
            <w:tcW w:type="dxa" w:w="1949"/>
            <w:vAlign w:val="center"/>
          </w:tcPr>
          <w:p>
            <w:pPr>
              <w:spacing w:after="40"/>
            </w:pPr>
            <w:r>
              <w:rPr>
                <w:rFonts w:ascii="Noto Sans" w:hAnsi="Noto Sans" w:eastAsia="Noto Sans TC" w:cs="Noto Sans"/>
                <w:sz w:val="17"/>
              </w:rPr>
              <w:t>Настройки и функциональность</w:t>
            </w:r>
          </w:p>
        </w:tc>
        <w:tc>
          <w:tcPr>
            <w:tcW w:type="dxa" w:w="1949"/>
            <w:vAlign w:val="center"/>
          </w:tcPr>
          <w:p>
            <w:pPr>
              <w:spacing w:after="40"/>
            </w:pPr>
            <w:r>
              <w:rPr>
                <w:rFonts w:ascii="Noto Sans" w:hAnsi="Noto Sans" w:eastAsia="Noto Sans TC" w:cs="Noto Sans"/>
                <w:sz w:val="17"/>
              </w:rPr>
              <w:t>Запомните выбранный язык сайта, настройки интерфейса и необходимые сохраненные выборы.</w:t>
            </w:r>
          </w:p>
        </w:tc>
        <w:tc>
          <w:tcPr>
            <w:tcW w:type="dxa" w:w="1949"/>
            <w:vAlign w:val="center"/>
          </w:tcPr>
          <w:p>
            <w:pPr>
              <w:spacing w:after="40"/>
            </w:pPr>
            <w:r>
              <w:rPr>
                <w:rFonts w:ascii="Noto Sans" w:hAnsi="Noto Sans" w:eastAsia="Noto Sans TC" w:cs="Noto Sans"/>
                <w:sz w:val="17"/>
              </w:rPr>
              <w:t>В настоящее время используется для языка сайта и настроек мини-игр</w:t>
            </w:r>
          </w:p>
        </w:tc>
        <w:tc>
          <w:tcPr>
            <w:tcW w:type="dxa" w:w="1949"/>
            <w:vAlign w:val="center"/>
          </w:tcPr>
          <w:p>
            <w:pPr>
              <w:spacing w:after="40"/>
            </w:pPr>
            <w:r>
              <w:rPr>
                <w:rFonts w:ascii="Noto Sans" w:hAnsi="Noto Sans" w:eastAsia="Noto Sans TC" w:cs="Noto Sans"/>
                <w:sz w:val="17"/>
              </w:rPr>
              <w:t>Может быть очищено через настройки браузера или будущие параметры конфигурации файлов cookie</w:t>
            </w:r>
          </w:p>
        </w:tc>
        <w:tc>
          <w:tcPr>
            <w:tcW w:type="dxa" w:w="1949"/>
            <w:vAlign w:val="center"/>
          </w:tcPr>
          <w:p>
            <w:pPr>
              <w:spacing w:after="40"/>
            </w:pPr>
            <w:r>
              <w:rPr>
                <w:rFonts w:ascii="Noto Sans" w:hAnsi="Noto Sans" w:eastAsia="Noto Sans TC" w:cs="Noto Sans"/>
                <w:sz w:val="17"/>
              </w:rPr>
              <w:t>zg-locale и отключение звука мини-игры сохраняются до очистки; позиция музыки сохраняется только для текущей сессии вкладки</w:t>
            </w:r>
          </w:p>
        </w:tc>
      </w:tr>
      <w:tr>
        <w:trPr>
          <w:cantSplit/>
        </w:trPr>
        <w:tc>
          <w:tcPr>
            <w:tcW w:type="dxa" w:w="1949"/>
            <w:vAlign w:val="center"/>
          </w:tcPr>
          <w:p>
            <w:pPr>
              <w:spacing w:after="40"/>
            </w:pPr>
            <w:r>
              <w:rPr>
                <w:rFonts w:ascii="Noto Sans" w:hAnsi="Noto Sans" w:eastAsia="Noto Sans TC" w:cs="Noto Sans"/>
                <w:sz w:val="17"/>
              </w:rPr>
              <w:t>Производительность / Анализ</w:t>
            </w:r>
          </w:p>
        </w:tc>
        <w:tc>
          <w:tcPr>
            <w:tcW w:type="dxa" w:w="1949"/>
            <w:vAlign w:val="center"/>
          </w:tcPr>
          <w:p>
            <w:pPr>
              <w:spacing w:after="40"/>
            </w:pPr>
            <w:r>
              <w:rPr>
                <w:rFonts w:ascii="Noto Sans" w:hAnsi="Noto Sans" w:eastAsia="Noto Sans TC" w:cs="Noto Sans"/>
                <w:sz w:val="17"/>
              </w:rPr>
              <w:t>Отслеживание объема посещений треков, времени пребывания на страницах, источников трафика, маркетинговых конверсий и других аналитических данных</w:t>
            </w:r>
          </w:p>
        </w:tc>
        <w:tc>
          <w:tcPr>
            <w:tcW w:type="dxa" w:w="1949"/>
            <w:vAlign w:val="center"/>
          </w:tcPr>
          <w:p>
            <w:pPr>
              <w:spacing w:after="40"/>
            </w:pPr>
            <w:r>
              <w:rPr>
                <w:rFonts w:ascii="Noto Sans" w:hAnsi="Noto Sans" w:eastAsia="Noto Sans TC" w:cs="Noto Sans"/>
                <w:sz w:val="17"/>
              </w:rPr>
              <w:t>В настоящее время не использует сторонние аналитические файлы cookie</w:t>
            </w:r>
          </w:p>
        </w:tc>
        <w:tc>
          <w:tcPr>
            <w:tcW w:type="dxa" w:w="1949"/>
            <w:vAlign w:val="center"/>
          </w:tcPr>
          <w:p>
            <w:pPr>
              <w:spacing w:after="40"/>
            </w:pPr>
            <w:r>
              <w:rPr>
                <w:rFonts w:ascii="Noto Sans" w:hAnsi="Noto Sans" w:eastAsia="Noto Sans TC" w:cs="Noto Sans"/>
                <w:sz w:val="17"/>
              </w:rPr>
              <w:t>Не применимо</w:t>
            </w:r>
          </w:p>
        </w:tc>
        <w:tc>
          <w:tcPr>
            <w:tcW w:type="dxa" w:w="1949"/>
            <w:vAlign w:val="center"/>
          </w:tcPr>
          <w:p>
            <w:pPr>
              <w:spacing w:after="40"/>
            </w:pPr>
            <w:r>
              <w:rPr>
                <w:rFonts w:ascii="Noto Sans" w:hAnsi="Noto Sans" w:eastAsia="Noto Sans TC" w:cs="Noto Sans"/>
                <w:sz w:val="17"/>
              </w:rPr>
              <w:t>Если будет активировано в будущем, внедрение начнется с обновления этой политики и соблюдения применимых законов относительно контроля пользователей</w:t>
            </w:r>
          </w:p>
        </w:tc>
      </w:tr>
      <w:tr>
        <w:trPr>
          <w:cantSplit/>
        </w:trPr>
        <w:tc>
          <w:tcPr>
            <w:tcW w:type="dxa" w:w="1949"/>
            <w:vAlign w:val="center"/>
          </w:tcPr>
          <w:p>
            <w:pPr>
              <w:spacing w:after="40"/>
            </w:pPr>
            <w:r>
              <w:rPr>
                <w:rFonts w:ascii="Noto Sans" w:hAnsi="Noto Sans" w:eastAsia="Noto Sans TC" w:cs="Noto Sans"/>
                <w:sz w:val="17"/>
              </w:rPr>
              <w:t>Реклама / таргетинг</w:t>
            </w:r>
          </w:p>
        </w:tc>
        <w:tc>
          <w:tcPr>
            <w:tcW w:type="dxa" w:w="1949"/>
            <w:vAlign w:val="center"/>
          </w:tcPr>
          <w:p>
            <w:pPr>
              <w:spacing w:after="40"/>
            </w:pPr>
            <w:r>
              <w:rPr>
                <w:rFonts w:ascii="Noto Sans" w:hAnsi="Noto Sans" w:eastAsia="Noto Sans TC" w:cs="Noto Sans"/>
                <w:sz w:val="17"/>
              </w:rPr>
              <w:t>Кросс-сайтовое профилирование, перенаправляющая реклама, реклама на основе интересов</w:t>
            </w:r>
          </w:p>
        </w:tc>
        <w:tc>
          <w:tcPr>
            <w:tcW w:type="dxa" w:w="1949"/>
            <w:vAlign w:val="center"/>
          </w:tcPr>
          <w:p>
            <w:pPr>
              <w:spacing w:after="40"/>
            </w:pPr>
            <w:r>
              <w:rPr>
                <w:rFonts w:ascii="Noto Sans" w:hAnsi="Noto Sans" w:eastAsia="Noto Sans TC" w:cs="Noto Sans"/>
                <w:sz w:val="17"/>
              </w:rPr>
              <w:t>В настоящее время не используется</w:t>
            </w:r>
          </w:p>
        </w:tc>
        <w:tc>
          <w:tcPr>
            <w:tcW w:type="dxa" w:w="1949"/>
            <w:vAlign w:val="center"/>
          </w:tcPr>
          <w:p>
            <w:pPr>
              <w:spacing w:after="40"/>
            </w:pPr>
            <w:r>
              <w:rPr>
                <w:rFonts w:ascii="Noto Sans" w:hAnsi="Noto Sans" w:eastAsia="Noto Sans TC" w:cs="Noto Sans"/>
                <w:sz w:val="17"/>
              </w:rPr>
              <w:t>Не применимо</w:t>
            </w:r>
          </w:p>
        </w:tc>
        <w:tc>
          <w:tcPr>
            <w:tcW w:type="dxa" w:w="1949"/>
            <w:vAlign w:val="center"/>
          </w:tcPr>
          <w:p>
            <w:pPr>
              <w:spacing w:after="40"/>
            </w:pPr>
            <w:r>
              <w:rPr>
                <w:rFonts w:ascii="Noto Sans" w:hAnsi="Noto Sans" w:eastAsia="Noto Sans TC" w:cs="Noto Sans"/>
                <w:sz w:val="17"/>
              </w:rPr>
              <w:t>Такие файлы cookie в настоящее время не используются</w:t>
            </w:r>
          </w:p>
        </w:tc>
      </w:tr>
      <w:tr>
        <w:trPr>
          <w:cantSplit/>
        </w:trPr>
        <w:tc>
          <w:tcPr>
            <w:tcW w:type="dxa" w:w="1949"/>
            <w:vAlign w:val="center"/>
          </w:tcPr>
          <w:p>
            <w:pPr>
              <w:spacing w:after="40"/>
            </w:pPr>
            <w:r>
              <w:rPr>
                <w:rFonts w:ascii="Noto Sans" w:hAnsi="Noto Sans" w:eastAsia="Noto Sans TC" w:cs="Noto Sans"/>
                <w:sz w:val="17"/>
              </w:rPr>
              <w:t>Социальные сети / встроенный контент</w:t>
            </w:r>
          </w:p>
        </w:tc>
        <w:tc>
          <w:tcPr>
            <w:tcW w:type="dxa" w:w="1949"/>
            <w:vAlign w:val="center"/>
          </w:tcPr>
          <w:p>
            <w:pPr>
              <w:spacing w:after="40"/>
            </w:pPr>
            <w:r>
              <w:rPr>
                <w:rFonts w:ascii="Noto Sans" w:hAnsi="Noto Sans" w:eastAsia="Noto Sans TC" w:cs="Noto Sans"/>
                <w:sz w:val="17"/>
              </w:rPr>
              <w:t>Встроенные видео, кнопки социального обмена и сторонние компоненты могут запускать сторонние файлы cookie</w:t>
            </w:r>
          </w:p>
        </w:tc>
        <w:tc>
          <w:tcPr>
            <w:tcW w:type="dxa" w:w="1949"/>
            <w:vAlign w:val="center"/>
          </w:tcPr>
          <w:p>
            <w:pPr>
              <w:spacing w:after="40"/>
            </w:pPr>
            <w:r>
              <w:rPr>
                <w:rFonts w:ascii="Noto Sans" w:hAnsi="Noto Sans" w:eastAsia="Noto Sans TC" w:cs="Noto Sans"/>
                <w:sz w:val="17"/>
              </w:rPr>
              <w:t>По умолчанию предпочтительны стандартные внешние ссылки; если в будущем будет внедрена возможность встраивания, будет проведена отдельная оценка</w:t>
            </w:r>
          </w:p>
        </w:tc>
        <w:tc>
          <w:tcPr>
            <w:tcW w:type="dxa" w:w="1949"/>
            <w:vAlign w:val="center"/>
          </w:tcPr>
          <w:p>
            <w:pPr>
              <w:spacing w:after="40"/>
            </w:pPr>
            <w:r>
              <w:rPr>
                <w:rFonts w:ascii="Noto Sans" w:hAnsi="Noto Sans" w:eastAsia="Noto Sans TC" w:cs="Noto Sans"/>
                <w:sz w:val="17"/>
              </w:rPr>
              <w:t>Зависит от сторонних сервисов и юридических требований</w:t>
            </w:r>
          </w:p>
        </w:tc>
        <w:tc>
          <w:tcPr>
            <w:tcW w:type="dxa" w:w="1949"/>
            <w:vAlign w:val="center"/>
          </w:tcPr>
          <w:p>
            <w:pPr>
              <w:spacing w:after="40"/>
            </w:pPr>
            <w:r>
              <w:rPr>
                <w:rFonts w:ascii="Noto Sans" w:hAnsi="Noto Sans" w:eastAsia="Noto Sans TC" w:cs="Noto Sans"/>
                <w:sz w:val="17"/>
              </w:rPr>
              <w:t>Решения принимаются соответствующими третьими сторонами, и будут предоставлены соответствующие уведомления или согласия там, где это требуется законом</w:t>
            </w:r>
          </w:p>
        </w:tc>
      </w:tr>
    </w:tbl>
    <w:p>
      <w:pPr>
        <w:spacing w:after="40"/>
      </w:pPr>
    </w:p>
    <w:p>
      <w:pPr>
        <w:pStyle w:val="Heading1"/>
        <w:keepLines w:val="0"/>
      </w:pPr>
      <w:r>
        <w:rPr>
          <w:rFonts w:ascii="Noto Sans" w:hAnsi="Noto Sans" w:eastAsia="Noto Sans TC" w:cs="Noto Sans"/>
          <w:b w:val="0"/>
        </w:rPr>
        <w:t>4. Строго необходимые и защитные файлы cookie</w:t>
      </w:r>
    </w:p>
    <w:p>
      <w:pPr>
        <w:keepLines w:val="0"/>
      </w:pPr>
      <w:r>
        <w:rPr>
          <w:rFonts w:ascii="Noto Sans" w:hAnsi="Noto Sans" w:eastAsia="Noto Sans TC" w:cs="Noto Sans"/>
          <w:b w:val="0"/>
        </w:rPr>
        <w:t>Эти Cookies/аналогичные технологии используются для предоставления основных функций, которые вы активно запрашиваете, или для защиты безопасности веб-сайта, учетной записи и транзакций. Если они полностью заблокированы, основные функции веб-сайта могут работать неправильно. Распространенные варианты использования включают:</w:t>
      </w:r>
    </w:p>
    <w:p>
      <w:pPr>
        <w:pStyle w:val="ListBullet"/>
        <w:keepLines w:val="0"/>
      </w:pPr>
      <w:r>
        <w:rPr>
          <w:rFonts w:ascii="Noto Sans" w:hAnsi="Noto Sans" w:eastAsia="Noto Sans TC" w:cs="Noto Sans"/>
          <w:b w:val="0"/>
        </w:rPr>
        <w:t>Идентификация залогиненных сессий, позволяющая учетной записи игры DAWNBLOOM войти на официальный сайт и в DAWNBLOOM Community;</w:t>
      </w:r>
    </w:p>
    <w:p>
      <w:pPr>
        <w:pStyle w:val="ListBullet"/>
        <w:keepLines w:val="0"/>
      </w:pPr>
      <w:r>
        <w:rPr>
          <w:rFonts w:ascii="Noto Sans" w:hAnsi="Noto Sans" w:eastAsia="Noto Sans TC" w:cs="Noto Sans"/>
          <w:b w:val="0"/>
        </w:rPr>
        <w:t>Предотвращение подделки межсайтовых запросов, дублирования отправленных данных, автоматизированных злоупотреблений, попыток перебора паролей и других угроз безопасности;</w:t>
      </w:r>
    </w:p>
    <w:p>
      <w:pPr>
        <w:pStyle w:val="ListBullet"/>
        <w:keepLines w:val="0"/>
      </w:pPr>
      <w:r>
        <w:rPr>
          <w:rFonts w:ascii="Noto Sans" w:hAnsi="Noto Sans" w:eastAsia="Noto Sans TC" w:cs="Noto Sans"/>
          <w:b w:val="0"/>
        </w:rPr>
        <w:t>До того как станут доступны транзакции магазина, любое новое хранение состояния заказа будет добавлено в эту политику и фактический список; оно не представлено как используемое в настоящее время.</w:t>
      </w:r>
    </w:p>
    <w:p>
      <w:pPr>
        <w:pStyle w:val="ListBullet"/>
        <w:keepLines w:val="0"/>
      </w:pPr>
      <w:r>
        <w:rPr>
          <w:rFonts w:ascii="Noto Sans" w:hAnsi="Noto Sans" w:eastAsia="Noto Sans TC" w:cs="Noto Sans"/>
          <w:b w:val="0"/>
        </w:rPr>
        <w:t>Поддержание необходимых состояний сеанса на форумах, в центрах аккаунтов и формах службы поддержки;</w:t>
      </w:r>
    </w:p>
    <w:p>
      <w:pPr>
        <w:pStyle w:val="ListBullet"/>
        <w:keepLines w:val="0"/>
      </w:pPr>
      <w:r>
        <w:rPr>
          <w:rFonts w:ascii="Noto Sans" w:hAnsi="Noto Sans" w:eastAsia="Noto Sans TC" w:cs="Noto Sans"/>
          <w:b w:val="0"/>
        </w:rPr>
        <w:t>Фиксация завершения основных проверок безопасности или шагов подтверждения «человеческого» фактора для снижения частоты повторных запросов верификации.</w:t>
      </w:r>
    </w:p>
    <w:p>
      <w:pPr>
        <w:keepLines w:val="0"/>
      </w:pPr>
      <w:r>
        <w:rPr>
          <w:rFonts w:ascii="Noto Sans" w:hAnsi="Noto Sans" w:eastAsia="Noto Sans TC" w:cs="Noto Sans"/>
          <w:b w:val="0"/>
        </w:rPr>
        <w:t>DAWNBLOOM использует Cloudflare для DNS/CDN сайта и обеспечения безопасности. Устанавливается ли файл cookie безопасности Cloudflare фактически, зависит от визита и включенной защиты; проверьте журнал браузера за этот визит.</w:t>
      </w:r>
    </w:p>
    <w:p>
      <w:pPr>
        <w:pStyle w:val="Heading1"/>
        <w:keepLines w:val="0"/>
      </w:pPr>
      <w:r>
        <w:rPr>
          <w:rFonts w:ascii="Noto Sans" w:hAnsi="Noto Sans" w:eastAsia="Noto Sans TC" w:cs="Noto Sans"/>
          <w:b w:val="0"/>
        </w:rPr>
        <w:t>5. Технологии языка и предпочтений</w:t>
      </w:r>
    </w:p>
    <w:p>
      <w:pPr>
        <w:keepLines w:val="0"/>
      </w:pPr>
      <w:r>
        <w:rPr>
          <w:rFonts w:ascii="Noto Sans" w:hAnsi="Noto Sans" w:eastAsia="Noto Sans TC" w:cs="Noto Sans"/>
          <w:b w:val="0"/>
        </w:rPr>
        <w:t>Веб-сайт DAWNBLOOM предлагает интерфейс на 20 языках. При выборе языка сайт использует запись Local Storage первой стороны zg-locale, чтобы запомнить ваш выбор для следующего посещения. Эта запись не используется для создания рекламных профилей.</w:t>
      </w:r>
    </w:p>
    <w:p>
      <w:pPr>
        <w:keepLines w:val="0"/>
      </w:pPr>
      <w:r>
        <w:rPr>
          <w:rFonts w:ascii="Noto Sans" w:hAnsi="Noto Sans" w:eastAsia="Noto Sans TC" w:cs="Noto Sans"/>
          <w:b w:val="0"/>
        </w:rPr>
        <w:t>Предпочтение отключения звука мини-игры сохраняется в Local Storage, а позиция музыки — в Session Storage текущей вкладки. Очистка этих элементов может сбросить предпочтение или позицию.</w:t>
      </w:r>
    </w:p>
    <w:p>
      <w:pPr>
        <w:pStyle w:val="Heading1"/>
        <w:keepLines w:val="0"/>
      </w:pPr>
      <w:r>
        <w:rPr>
          <w:rFonts w:ascii="Noto Sans" w:hAnsi="Noto Sans" w:eastAsia="Noto Sans TC" w:cs="Noto Sans"/>
          <w:b w:val="0"/>
        </w:rPr>
        <w:t>6. Что мы в настоящее время НЕ делаем</w:t>
      </w:r>
    </w:p>
    <w:p>
      <w:pPr>
        <w:pStyle w:val="ListBullet"/>
        <w:keepLines w:val="0"/>
      </w:pPr>
      <w:r>
        <w:rPr>
          <w:rFonts w:ascii="Noto Sans" w:hAnsi="Noto Sans" w:eastAsia="Noto Sans TC" w:cs="Noto Sans"/>
          <w:b w:val="0"/>
        </w:rPr>
        <w:t>Мы не показываем поведенческую рекламу третьих лиц на официальном сайте или в игре;</w:t>
      </w:r>
    </w:p>
    <w:p>
      <w:pPr>
        <w:pStyle w:val="ListBullet"/>
        <w:keepLines w:val="0"/>
      </w:pPr>
      <w:r>
        <w:rPr>
          <w:rFonts w:ascii="Noto Sans" w:hAnsi="Noto Sans" w:eastAsia="Noto Sans TC" w:cs="Noto Sans"/>
          <w:b w:val="0"/>
        </w:rPr>
        <w:t>Мы не используем сторонние инструменты маркетинговой аналитики, такие как Meta Pixel или Google Analytics;</w:t>
      </w:r>
    </w:p>
    <w:p>
      <w:pPr>
        <w:pStyle w:val="ListBullet"/>
        <w:keepLines w:val="0"/>
      </w:pPr>
      <w:r>
        <w:rPr>
          <w:rFonts w:ascii="Noto Sans" w:hAnsi="Noto Sans" w:eastAsia="Noto Sans TC" w:cs="Noto Sans"/>
          <w:b w:val="0"/>
        </w:rPr>
        <w:t>Мы не используем файлы cookie для создания профилей кросс-сайтовой рекламы;</w:t>
      </w:r>
    </w:p>
    <w:p>
      <w:pPr>
        <w:pStyle w:val="ListBullet"/>
        <w:keepLines w:val="0"/>
      </w:pPr>
      <w:r>
        <w:rPr>
          <w:rFonts w:ascii="Noto Sans" w:hAnsi="Noto Sans" w:eastAsia="Noto Sans TC" w:cs="Noto Sans"/>
          <w:b w:val="0"/>
        </w:rPr>
        <w:t>Мы не продаем идентификаторы файлов cookie или личные данные, полученные из них;</w:t>
      </w:r>
    </w:p>
    <w:p>
      <w:pPr>
        <w:pStyle w:val="ListBullet"/>
        <w:keepLines w:val="0"/>
      </w:pPr>
      <w:r>
        <w:rPr>
          <w:rFonts w:ascii="Noto Sans" w:hAnsi="Noto Sans" w:eastAsia="Noto Sans TC" w:cs="Noto Sans"/>
          <w:b w:val="0"/>
        </w:rPr>
        <w:t>Личная информация не будет передаваться для кросс-контекстной поведенческой рекламы;</w:t>
      </w:r>
    </w:p>
    <w:p>
      <w:pPr>
        <w:pStyle w:val="ListBullet"/>
        <w:keepLines w:val="0"/>
      </w:pPr>
      <w:r>
        <w:rPr>
          <w:rFonts w:ascii="Noto Sans" w:hAnsi="Noto Sans" w:eastAsia="Noto Sans TC" w:cs="Noto Sans"/>
          <w:b w:val="0"/>
        </w:rPr>
        <w:t>Ни один сервис, предоставляемый в рамках или в связи с Cookie, не будет отказан пользователю, отказавшемуся от будущих необязательных Cookies, при условии, что такой сервис не связан с рассматриваемым Cookie.</w:t>
      </w:r>
    </w:p>
    <w:p>
      <w:pPr>
        <w:keepLines w:val="0"/>
      </w:pPr>
      <w:r>
        <w:rPr>
          <w:rFonts w:ascii="Noto Sans" w:hAnsi="Noto Sans" w:eastAsia="Noto Sans TC" w:cs="Noto Sans"/>
          <w:b w:val="0"/>
        </w:rPr>
        <w:t>Если будущие требования к продукту изменятся и мы планируем добавить функции, такие как анализ, реклама, A/B-тестирование, SDK маркетинга третьих лиц или другие технологии отслеживания, не являющиеся обязательными, мы проведем новую оценку соответствия перед включением таких функций, обновим эту Политику и Политику конфиденциальности соответственно и предоставим заметный механизм выбора участия, отказа или отзыва, как того требует закон.</w:t>
      </w:r>
    </w:p>
    <w:p>
      <w:pPr>
        <w:pStyle w:val="Heading1"/>
        <w:keepLines w:val="0"/>
      </w:pPr>
      <w:r>
        <w:rPr>
          <w:rFonts w:ascii="Noto Sans" w:hAnsi="Noto Sans" w:eastAsia="Noto Sans TC" w:cs="Noto Sans"/>
          <w:b w:val="0"/>
        </w:rPr>
        <w:t>7. Вход через сторонние сервисы, платежи и внешние страницы</w:t>
      </w:r>
    </w:p>
    <w:p>
      <w:pPr>
        <w:keepLines w:val="0"/>
      </w:pPr>
      <w:r>
        <w:rPr>
          <w:rFonts w:ascii="Noto Sans" w:hAnsi="Noto Sans" w:eastAsia="Noto Sans TC" w:cs="Noto Sans"/>
          <w:b w:val="0"/>
        </w:rPr>
        <w:t>Когда вы выбираете варианты входа через сторонние сервисы, такие как Apple, Steam или WeChat, или используете методы оплаты, такие как WeChat Pay, Alipay, UnionPay, Visa, Mastercard, Apple Pay или другие системы платежей третьих лиц, вас могут перенаправить на страницы третьих лиц или взаимодействовать с компонентами, контролируемыми третьими лицами. Такие третьи лица могут использовать файлы cookie, информацию об устройстве или другие технологии в соответствии с собственными правилами для выполнения аутентификации, проверки безопасности и обработки платежей.</w:t>
      </w:r>
    </w:p>
    <w:p>
      <w:pPr>
        <w:keepLines w:val="0"/>
      </w:pPr>
      <w:r>
        <w:rPr>
          <w:rFonts w:ascii="Noto Sans" w:hAnsi="Noto Sans" w:eastAsia="Noto Sans TC" w:cs="Noto Sans"/>
          <w:b w:val="0"/>
        </w:rPr>
        <w:t>После перехода по официальной ссылке в Apple App Store, Google Play, Steam или другой указанный магазин, этот магазин может использовать файлы cookie в соответствии с собственной политикой. Сторонние сайты, посещенные в Browser, и провайдеры, подключенные к Mail, также контролируют свои собственные данные сайта.</w:t>
      </w:r>
    </w:p>
    <w:p>
      <w:pPr>
        <w:keepLines w:val="0"/>
      </w:pPr>
      <w:r>
        <w:rPr>
          <w:rFonts w:ascii="Noto Sans" w:hAnsi="Noto Sans" w:eastAsia="Noto Sans TC" w:cs="Noto Sans"/>
          <w:b w:val="0"/>
        </w:rPr>
        <w:t>Мы не будем утверждать, что файлы cookie любой третьей стороны являются файлами cookie первой стороны DAWNBLOOM, и мы не будем контролировать любую обработку данных, осуществляемую такими третьими сторонами в их независимых сервисах. Пожалуйста, обратитесь к Политике конфиденциальности и Уведомлению о файлах cookie/технологиях отслеживания соответствующего провайдера услуг для получения подробной информации об такой обработке.</w:t>
      </w:r>
    </w:p>
    <w:p>
      <w:pPr>
        <w:pStyle w:val="Heading1"/>
        <w:keepLines w:val="0"/>
      </w:pPr>
      <w:r>
        <w:rPr>
          <w:rFonts w:ascii="Noto Sans" w:hAnsi="Noto Sans" w:eastAsia="Noto Sans TC" w:cs="Noto Sans"/>
          <w:b w:val="0"/>
        </w:rPr>
        <w:t>8. Ваши настройки файлов cookie</w:t>
      </w:r>
    </w:p>
    <w:p>
      <w:pPr>
        <w:keepLines w:val="0"/>
      </w:pPr>
      <w:r>
        <w:rPr>
          <w:rFonts w:ascii="Noto Sans" w:hAnsi="Noto Sans" w:eastAsia="Noto Sans TC" w:cs="Noto Sans"/>
          <w:b w:val="0"/>
        </w:rPr>
        <w:t>Вы можете просматривать, удалять, блокировать или ограничивать Cookies через настройки вашего браузера. Конкретный способ входа и терминология могут различаться в зависимости от браузера, и должны быть подтверждены согласно собственной справочной документации браузера.</w:t>
      </w:r>
    </w:p>
    <w:p>
      <w:pPr>
        <w:pStyle w:val="ListBullet"/>
        <w:keepLines w:val="0"/>
      </w:pPr>
      <w:r>
        <w:rPr>
          <w:rFonts w:ascii="Noto Sans" w:hAnsi="Noto Sans" w:eastAsia="Noto Sans TC" w:cs="Noto Sans"/>
          <w:b w:val="0"/>
        </w:rPr>
        <w:t>Удаление файлов cookie входа в систему может привести к немедленному выходу из аккаунта;</w:t>
      </w:r>
    </w:p>
    <w:p>
      <w:pPr>
        <w:pStyle w:val="ListBullet"/>
        <w:keepLines w:val="0"/>
      </w:pPr>
      <w:r>
        <w:rPr>
          <w:rFonts w:ascii="Noto Sans" w:hAnsi="Noto Sans" w:eastAsia="Noto Sans TC" w:cs="Noto Sans"/>
          <w:b w:val="0"/>
        </w:rPr>
        <w:t>Отключение строго необходимых Cookies может привести к сбою входа, невозможности нормально публиковать контент, нарушениям потока транзакций или повторным проверкам безопасности;</w:t>
      </w:r>
    </w:p>
    <w:p>
      <w:pPr>
        <w:pStyle w:val="ListBullet"/>
        <w:keepLines w:val="0"/>
      </w:pPr>
      <w:r>
        <w:rPr>
          <w:rFonts w:ascii="Noto Sans" w:hAnsi="Noto Sans" w:eastAsia="Noto Sans TC" w:cs="Noto Sans"/>
          <w:b w:val="0"/>
        </w:rPr>
        <w:t>Удаление языковых предпочтений может привести к тому, что официальный сайт вернется к языку по умолчанию;</w:t>
      </w:r>
    </w:p>
    <w:p>
      <w:pPr>
        <w:pStyle w:val="ListBullet"/>
        <w:keepLines w:val="0"/>
      </w:pPr>
      <w:r>
        <w:rPr>
          <w:rFonts w:ascii="Noto Sans" w:hAnsi="Noto Sans" w:eastAsia="Noto Sans TC" w:cs="Noto Sans"/>
          <w:b w:val="0"/>
        </w:rPr>
        <w:t>Режим «частного просмотра» или «инкогнито» браузера обычно очищает определенные сохраненные данные после завершения сеанса, хотя точное поведение определяется самим браузером.</w:t>
      </w:r>
    </w:p>
    <w:p>
      <w:pPr>
        <w:keepLines w:val="0"/>
      </w:pPr>
      <w:r>
        <w:rPr>
          <w:rFonts w:ascii="Noto Sans" w:hAnsi="Noto Sans" w:eastAsia="Noto Sans TC" w:cs="Noto Sans"/>
          <w:b w:val="0"/>
        </w:rPr>
        <w:t>Если в будущем мы включим необязательные cookies, требующие предварительного согласия, пользователи смогут делать выбор через интерфейс настроек Cookie в соответствующих сценариях, а также позже отозвать этот выбор. Однако отзыв согласия не повлияет на любую предыдущую обработку, которая проводилась на основе действительных юридических оснований.</w:t>
      </w:r>
    </w:p>
    <w:p>
      <w:pPr>
        <w:pStyle w:val="Heading1"/>
        <w:keepLines w:val="0"/>
      </w:pPr>
      <w:r>
        <w:rPr>
          <w:rFonts w:ascii="Noto Sans" w:hAnsi="Noto Sans" w:eastAsia="Noto Sans TC" w:cs="Noto Sans"/>
          <w:b w:val="0"/>
        </w:rPr>
        <w:t>9. Пояснение по региону материкового Китая</w:t>
      </w:r>
    </w:p>
    <w:p>
      <w:pPr>
        <w:keepLines w:val="0"/>
      </w:pPr>
      <w:r>
        <w:rPr>
          <w:rFonts w:ascii="Noto Sans" w:hAnsi="Noto Sans" w:eastAsia="Noto Sans TC" w:cs="Noto Sans"/>
          <w:b w:val="0"/>
        </w:rPr>
        <w:t>Для пользователей в материковом Китае мы будем обрабатывать информацию, сгенерированную через Cookies или аналогичные технологии, которая может быть связана или ассоциирована с идентифицированными или идентифицируемыми физическими лицами, в соответствии с такими нормативными актами, как Закон КНР о защите личной информации и Правила управления безопасностью сетевых данных. Мы придерживаемся принципов законности, справедливости, необходимости, добросовестности, четкой цели и минимального объема данных и публично раскрываем цели, методы, типы и правила хранения такой обработки.</w:t>
      </w:r>
    </w:p>
    <w:p>
      <w:pPr>
        <w:keepLines w:val="0"/>
      </w:pPr>
      <w:r>
        <w:rPr>
          <w:rFonts w:ascii="Noto Sans" w:hAnsi="Noto Sans" w:eastAsia="Noto Sans TC" w:cs="Noto Sans"/>
          <w:b w:val="0"/>
        </w:rPr>
        <w:t>В технических целях, необходимых для выполнения ваших отношений с нашими услугами, таких как вход в систему, безопасность учетной записи и обработка заказов, мы можем обрабатывать Cookie или аналогичные технологии на основе договорных обязательств или юридических обязанностей, разрешенных применимым законодательством; если Cookie или аналогичная технология требует вашего предварительного согласия в соответствии с применимым законом, мы получим такое согласие после предоставления полного уведомления, а также предоставим механизм для отзыва этого согласия.</w:t>
      </w:r>
    </w:p>
    <w:p>
      <w:pPr>
        <w:keepLines w:val="0"/>
      </w:pPr>
      <w:r>
        <w:rPr>
          <w:rFonts w:ascii="Noto Sans" w:hAnsi="Noto Sans" w:eastAsia="Noto Sans TC" w:cs="Noto Sans"/>
          <w:b w:val="0"/>
        </w:rPr>
        <w:t>Если мы впоследствии передадим какие-либо идентификаторы файлов cookie или поведенческие данные третьей стороне в целях, таких как независимая идентификация, профилирование или иное использование, мы повторно оценим требования о предварительном уведомлении, отдельном согласии, делегировании обработки и трансграничной передаче перед внедрением и не будем полагаться исключительно на общее разрешение, содержащееся в настоящих Условиях.</w:t>
      </w:r>
    </w:p>
    <w:p>
      <w:pPr>
        <w:pStyle w:val="Heading1"/>
        <w:keepLines w:val="0"/>
      </w:pPr>
      <w:r>
        <w:rPr>
          <w:rFonts w:ascii="Noto Sans" w:hAnsi="Noto Sans" w:eastAsia="Noto Sans TC" w:cs="Noto Sans"/>
          <w:b w:val="0"/>
        </w:rPr>
        <w:t>10. Пояснение по региону США</w:t>
      </w:r>
    </w:p>
    <w:p>
      <w:pPr>
        <w:keepLines w:val="0"/>
      </w:pPr>
      <w:r>
        <w:rPr>
          <w:rFonts w:ascii="Noto Sans" w:hAnsi="Noto Sans" w:eastAsia="Noto Sans TC" w:cs="Noto Sans"/>
          <w:b w:val="0"/>
        </w:rPr>
        <w:t>Рамки конфиденциальности США совместно формируются федеральным и штатным законодательством. Если DAWNBLOOM в будущем достигнет пороговых значений применимости Закона Калифорнии о конфиденциальности потребителей (CCPA/CPRA) или других законов штатов о конфиденциальности, мы предоставим, в соответствии с законом, права на доступ, исправление, удаление и отказ от участия (opt-out).</w:t>
      </w:r>
    </w:p>
    <w:p>
      <w:pPr>
        <w:keepLines w:val="0"/>
      </w:pPr>
      <w:r>
        <w:rPr>
          <w:rFonts w:ascii="Noto Sans" w:hAnsi="Noto Sans" w:eastAsia="Noto Sans TC" w:cs="Noto Sans"/>
          <w:b w:val="0"/>
        </w:rPr>
        <w:t>В соответствии с текущим дизайном продукта DAWNBLOOM не продает личную информацию и не передает личную информацию для кросс-контекстной рекламы. Следовательно, в настоящее время отсутствует деятельность по «продаже или обмену» на основе рекламных cookies. Если будущие практики изменятся, мы обновим эту политику и, при необходимости, предоставим запись «Ваши выборы конфиденциальности / Не продавать и не обменивать» и будем распознавать юридически действительные сигналы отказа (например, Global Privacy Control, когда это применимо).</w:t>
      </w:r>
    </w:p>
    <w:p>
      <w:pPr>
        <w:pStyle w:val="Heading1"/>
        <w:keepLines w:val="0"/>
      </w:pPr>
      <w:r>
        <w:rPr>
          <w:rFonts w:ascii="Noto Sans" w:hAnsi="Noto Sans" w:eastAsia="Noto Sans TC" w:cs="Noto Sans"/>
          <w:b w:val="0"/>
        </w:rPr>
        <w:t>11. Специальные положения для Японии</w:t>
      </w:r>
    </w:p>
    <w:p>
      <w:pPr>
        <w:keepLines w:val="0"/>
      </w:pPr>
      <w:r>
        <w:rPr>
          <w:rFonts w:ascii="Noto Sans" w:hAnsi="Noto Sans" w:eastAsia="Noto Sans TC" w:cs="Noto Sans"/>
          <w:b w:val="0"/>
        </w:rPr>
        <w:t>В соответствии с Законом Японии о защите персональной информации (APPI) идентификаторы устройств, такие как файлы cookie, могут подпадать под категорию информации, относящейся к физическим лицам (personally referable information) в определенных обстоятельствах. Когда их можно легко объединить с другой информацией для идентификации конкретного лица, они также могут обрабатываться как персональная информация (personal information).</w:t>
      </w:r>
    </w:p>
    <w:p>
      <w:pPr>
        <w:keepLines w:val="0"/>
      </w:pPr>
      <w:r>
        <w:rPr>
          <w:rFonts w:ascii="Noto Sans" w:hAnsi="Noto Sans" w:eastAsia="Noto Sans TC" w:cs="Noto Sans"/>
          <w:b w:val="0"/>
        </w:rPr>
        <w:t>В настоящее время мы не передаем идентификаторы файлов cookie рекламным партнерам для объединения с их персональными данными с целью создания рекламных профилей. Если в будущем мы предоставим информацию, относящуюся к физическим лицам (personally referable information) третьим лицам и ожидаем, что получатель приобретет ее как персональные данные, мы подтвердим необходимое согласие физического лица и связанные условия в соответствии с правилами Комиссии по защите персональных данных Японии. Если будет задействовано иностранное третье лицо, мы также оценим соответствующие требования к трансграничной передаче данных.</w:t>
      </w:r>
    </w:p>
    <w:p>
      <w:pPr>
        <w:pStyle w:val="Heading1"/>
        <w:keepLines w:val="0"/>
      </w:pPr>
      <w:r>
        <w:rPr>
          <w:rFonts w:ascii="Noto Sans" w:hAnsi="Noto Sans" w:eastAsia="Noto Sans TC" w:cs="Noto Sans"/>
          <w:b w:val="0"/>
        </w:rPr>
        <w:t>12. Пользователи младше 18 лет</w:t>
      </w:r>
    </w:p>
    <w:p>
      <w:pPr>
        <w:keepLines w:val="0"/>
      </w:pPr>
      <w:r>
        <w:rPr>
          <w:rFonts w:ascii="Noto Sans" w:hAnsi="Noto Sans" w:eastAsia="Noto Sans TC" w:cs="Noto Sans"/>
          <w:b w:val="0"/>
        </w:rPr>
        <w:t>Аккаунты игр DAWNBLOOM, игровое сообщество и связанные с ними игровые услуги в настоящее время требуют, чтобы пользователи были не моложе 18 лет. Публичные страницы и DAWNBLOOM Browser не имеют такого универсального возрастного ограничения для игр. Мы не используем веб-файлы cookie или аналогичные технологии для создания маркетинговых профилей несовершеннолетних; другая обработка, касающаяся несовершеннолетних, оценивается в рамках единой Политики конфиденциальности и применимого законодательства.</w:t>
      </w:r>
    </w:p>
    <w:p>
      <w:pPr>
        <w:pStyle w:val="Heading1"/>
        <w:keepLines w:val="0"/>
      </w:pPr>
      <w:r>
        <w:rPr>
          <w:rFonts w:ascii="Noto Sans" w:hAnsi="Noto Sans" w:eastAsia="Noto Sans TC" w:cs="Noto Sans"/>
          <w:b w:val="0"/>
        </w:rPr>
        <w:t>13. Список файлов cookie и механизм обновления</w:t>
      </w:r>
    </w:p>
    <w:p>
      <w:pPr>
        <w:keepLines w:val="0"/>
      </w:pPr>
      <w:r>
        <w:rPr>
          <w:rFonts w:ascii="Noto Sans" w:hAnsi="Noto Sans" w:eastAsia="Noto Sans TC" w:cs="Noto Sans"/>
          <w:b w:val="0"/>
        </w:rPr>
        <w:t>Ниже приведен список первичной браузерной памяти, выявленной в текущем веб-сайте и коде службы аккаунта. Фактические элементы варьируются в зависимости от страницы и сеанса. Службы безопасности/CDN могут устанавливать дополнительные необходимые файлы cookie в соответствии с посещением; проверьте запись браузера для этого посещения. Память для недоступных транзакций магазина не указана как используемая в настоящее время.</w:t>
      </w:r>
    </w:p>
    <w:tbl>
      <w:tblPr>
        <w:tblStyle w:val="TableGrid"/>
        <w:tblW w:type="auto" w:w="0"/>
        <w:tblLayout w:type="autofit"/>
        <w:tblLook w:firstColumn="1" w:firstRow="1" w:lastColumn="0" w:lastRow="0" w:noHBand="0" w:noVBand="1" w:val="04A0"/>
      </w:tblPr>
      <w:tblGrid>
        <w:gridCol w:w="2436"/>
        <w:gridCol w:w="2436"/>
        <w:gridCol w:w="2436"/>
        <w:gridCol w:w="2436"/>
      </w:tblGrid>
      <w:tr>
        <w:trPr>
          <w:cantSplit/>
          <w:tblHeader/>
        </w:trPr>
        <w:tc>
          <w:tcPr>
            <w:tcW w:type="dxa" w:w="2436"/>
            <w:vAlign w:val="center"/>
            <w:shd w:fill="DCE8F7"/>
          </w:tcPr>
          <w:p>
            <w:pPr>
              <w:keepNext/>
              <w:spacing w:after="40"/>
            </w:pPr>
            <w:r>
              <w:rPr>
                <w:rFonts w:ascii="Noto Sans" w:hAnsi="Noto Sans" w:eastAsia="Noto Sans TC" w:cs="Noto Sans"/>
                <w:b/>
                <w:sz w:val="17"/>
              </w:rPr>
              <w:t>Имя и метод</w:t>
            </w:r>
          </w:p>
        </w:tc>
        <w:tc>
          <w:tcPr>
            <w:tcW w:type="dxa" w:w="2436"/>
            <w:vAlign w:val="center"/>
            <w:shd w:fill="DCE8F7"/>
          </w:tcPr>
          <w:p>
            <w:pPr>
              <w:keepNext/>
              <w:spacing w:after="40"/>
            </w:pPr>
            <w:r>
              <w:rPr>
                <w:rFonts w:ascii="Noto Sans" w:hAnsi="Noto Sans" w:eastAsia="Noto Sans TC" w:cs="Noto Sans"/>
                <w:b/>
                <w:sz w:val="17"/>
              </w:rPr>
              <w:t>Поставщик и контекст</w:t>
            </w:r>
          </w:p>
        </w:tc>
        <w:tc>
          <w:tcPr>
            <w:tcW w:type="dxa" w:w="2436"/>
            <w:vAlign w:val="center"/>
            <w:shd w:fill="DCE8F7"/>
          </w:tcPr>
          <w:p>
            <w:pPr>
              <w:keepNext/>
              <w:spacing w:after="40"/>
            </w:pPr>
            <w:r>
              <w:rPr>
                <w:rFonts w:ascii="Noto Sans" w:hAnsi="Noto Sans" w:eastAsia="Noto Sans TC" w:cs="Noto Sans"/>
                <w:b/>
                <w:sz w:val="17"/>
              </w:rPr>
              <w:t>Цель и категория</w:t>
            </w:r>
          </w:p>
        </w:tc>
        <w:tc>
          <w:tcPr>
            <w:tcW w:type="dxa" w:w="2436"/>
            <w:vAlign w:val="center"/>
            <w:shd w:fill="DCE8F7"/>
          </w:tcPr>
          <w:p>
            <w:pPr>
              <w:keepNext/>
              <w:spacing w:after="40"/>
            </w:pPr>
            <w:r>
              <w:rPr>
                <w:rFonts w:ascii="Noto Sans" w:hAnsi="Noto Sans" w:eastAsia="Noto Sans TC" w:cs="Noto Sans"/>
                <w:b/>
                <w:sz w:val="17"/>
              </w:rPr>
              <w:t>Срок хранения в браузере</w:t>
            </w:r>
          </w:p>
        </w:tc>
      </w:tr>
      <w:tr>
        <w:trPr>
          <w:cantSplit/>
        </w:trPr>
        <w:tc>
          <w:tcPr>
            <w:tcW w:type="dxa" w:w="2436"/>
            <w:vAlign w:val="center"/>
          </w:tcPr>
          <w:p>
            <w:pPr>
              <w:spacing w:after="40"/>
            </w:pPr>
            <w:r>
              <w:rPr>
                <w:rFonts w:ascii="Noto Sans" w:hAnsi="Noto Sans" w:eastAsia="Noto Sans TC" w:cs="Noto Sans"/>
                <w:sz w:val="17"/>
              </w:rPr>
              <w:t>zg-locale · Local Storage</w:t>
            </w:r>
          </w:p>
        </w:tc>
        <w:tc>
          <w:tcPr>
            <w:tcW w:type="dxa" w:w="2436"/>
            <w:vAlign w:val="center"/>
          </w:tcPr>
          <w:p>
            <w:pPr>
              <w:spacing w:after="40"/>
            </w:pPr>
            <w:r>
              <w:rPr>
                <w:rFonts w:ascii="Noto Sans" w:hAnsi="Noto Sans" w:eastAsia="Noto Sans TC" w:cs="Noto Sans"/>
                <w:sz w:val="17"/>
              </w:rPr>
              <w:t>Веб-сайт DAWNBLOOM · выбор языка/главная страница</w:t>
            </w:r>
          </w:p>
        </w:tc>
        <w:tc>
          <w:tcPr>
            <w:tcW w:type="dxa" w:w="2436"/>
            <w:vAlign w:val="center"/>
          </w:tcPr>
          <w:p>
            <w:pPr>
              <w:spacing w:after="40"/>
            </w:pPr>
            <w:r>
              <w:rPr>
                <w:rFonts w:ascii="Noto Sans" w:hAnsi="Noto Sans" w:eastAsia="Noto Sans TC" w:cs="Noto Sans"/>
                <w:sz w:val="17"/>
              </w:rPr>
              <w:t>Запоминать язык сайта; функциональная настройка</w:t>
            </w:r>
          </w:p>
        </w:tc>
        <w:tc>
          <w:tcPr>
            <w:tcW w:type="dxa" w:w="2436"/>
            <w:vAlign w:val="center"/>
          </w:tcPr>
          <w:p>
            <w:pPr>
              <w:spacing w:after="40"/>
            </w:pPr>
            <w:r>
              <w:rPr>
                <w:rFonts w:ascii="Noto Sans" w:hAnsi="Noto Sans" w:eastAsia="Noto Sans TC" w:cs="Noto Sans"/>
                <w:sz w:val="17"/>
              </w:rPr>
              <w:t>Пока пользователь не очистит его или код сайта не изменится</w:t>
            </w:r>
          </w:p>
        </w:tc>
      </w:tr>
      <w:tr>
        <w:trPr>
          <w:cantSplit/>
        </w:trPr>
        <w:tc>
          <w:tcPr>
            <w:tcW w:type="dxa" w:w="2436"/>
            <w:vAlign w:val="center"/>
          </w:tcPr>
          <w:p>
            <w:pPr>
              <w:spacing w:after="40"/>
            </w:pPr>
            <w:r>
              <w:rPr>
                <w:rFonts w:ascii="Noto Sans" w:hAnsi="Noto Sans" w:eastAsia="Noto Sans TC" w:cs="Noto Sans"/>
                <w:sz w:val="17"/>
              </w:rPr>
              <w:t>zg-community-csrf · Session Storage</w:t>
            </w:r>
          </w:p>
        </w:tc>
        <w:tc>
          <w:tcPr>
            <w:tcW w:type="dxa" w:w="2436"/>
            <w:vAlign w:val="center"/>
          </w:tcPr>
          <w:p>
            <w:pPr>
              <w:spacing w:after="40"/>
            </w:pPr>
            <w:r>
              <w:rPr>
                <w:rFonts w:ascii="Noto Sans" w:hAnsi="Noto Sans" w:eastAsia="Noto Sans TC" w:cs="Noto Sans"/>
                <w:sz w:val="17"/>
              </w:rPr>
              <w:t>DAWNBLOOM Community/восстановление аккаунта</w:t>
            </w:r>
          </w:p>
        </w:tc>
        <w:tc>
          <w:tcPr>
            <w:tcW w:type="dxa" w:w="2436"/>
            <w:vAlign w:val="center"/>
          </w:tcPr>
          <w:p>
            <w:pPr>
              <w:spacing w:after="40"/>
            </w:pPr>
            <w:r>
              <w:rPr>
                <w:rFonts w:ascii="Noto Sans" w:hAnsi="Noto Sans" w:eastAsia="Noto Sans TC" w:cs="Noto Sans"/>
                <w:sz w:val="17"/>
              </w:rPr>
              <w:t>Сохранять идентификатор запроса защиты от подделки в сеансе; необходимая безопасность</w:t>
            </w:r>
          </w:p>
        </w:tc>
        <w:tc>
          <w:tcPr>
            <w:tcW w:type="dxa" w:w="2436"/>
            <w:vAlign w:val="center"/>
          </w:tcPr>
          <w:p>
            <w:pPr>
              <w:spacing w:after="40"/>
            </w:pPr>
            <w:r>
              <w:rPr>
                <w:rFonts w:ascii="Noto Sans" w:hAnsi="Noto Sans" w:eastAsia="Noto Sans TC" w:cs="Noto Sans"/>
                <w:sz w:val="17"/>
              </w:rPr>
              <w:t>До окончания текущего сеанса вкладки браузера</w:t>
            </w:r>
          </w:p>
        </w:tc>
      </w:tr>
      <w:tr>
        <w:trPr>
          <w:cantSplit/>
        </w:trPr>
        <w:tc>
          <w:tcPr>
            <w:tcW w:type="dxa" w:w="2436"/>
            <w:vAlign w:val="center"/>
          </w:tcPr>
          <w:p>
            <w:pPr>
              <w:spacing w:after="40"/>
            </w:pPr>
            <w:r>
              <w:rPr>
                <w:rFonts w:ascii="Noto Sans" w:hAnsi="Noto Sans" w:eastAsia="Noto Sans TC" w:cs="Noto Sans"/>
                <w:sz w:val="17"/>
              </w:rPr>
              <w:t>dawnbloom_web_session / clw_community_session · Cookie</w:t>
            </w:r>
          </w:p>
        </w:tc>
        <w:tc>
          <w:tcPr>
            <w:tcW w:type="dxa" w:w="2436"/>
            <w:vAlign w:val="center"/>
          </w:tcPr>
          <w:p>
            <w:pPr>
              <w:spacing w:after="40"/>
            </w:pPr>
            <w:r>
              <w:rPr>
                <w:rFonts w:ascii="Noto Sans" w:hAnsi="Noto Sans" w:eastAsia="Noto Sans TC" w:cs="Noto Sans"/>
                <w:sz w:val="17"/>
              </w:rPr>
              <w:t>Служба учётных записей DAWNBLOOM · после единого входа</w:t>
            </w:r>
          </w:p>
        </w:tc>
        <w:tc>
          <w:tcPr>
            <w:tcW w:type="dxa" w:w="2436"/>
            <w:vAlign w:val="center"/>
          </w:tcPr>
          <w:p>
            <w:pPr>
              <w:spacing w:after="40"/>
            </w:pPr>
            <w:r>
              <w:rPr>
                <w:rFonts w:ascii="Noto Sans" w:hAnsi="Noto Sans" w:eastAsia="Noto Sans TC" w:cs="Noto Sans"/>
                <w:sz w:val="17"/>
              </w:rPr>
              <w:t>Поддерживать вход в аккаунт и сообщество; необходимая функция и безопасность. Secure, HttpOnly, SameSite=Strict</w:t>
            </w:r>
          </w:p>
        </w:tc>
        <w:tc>
          <w:tcPr>
            <w:tcW w:type="dxa" w:w="2436"/>
            <w:vAlign w:val="center"/>
          </w:tcPr>
          <w:p>
            <w:pPr>
              <w:spacing w:after="40"/>
            </w:pPr>
            <w:r>
              <w:rPr>
                <w:rFonts w:ascii="Noto Sans" w:hAnsi="Noto Sans" w:eastAsia="Noto Sans TC" w:cs="Noto Sans"/>
                <w:sz w:val="17"/>
              </w:rPr>
              <w:t>Файлы cookie сеанса браузера; серверные сеансы имеют собственный срок истечения</w:t>
            </w:r>
          </w:p>
        </w:tc>
      </w:tr>
      <w:tr>
        <w:trPr>
          <w:cantSplit/>
        </w:trPr>
        <w:tc>
          <w:tcPr>
            <w:tcW w:type="dxa" w:w="2436"/>
            <w:vAlign w:val="center"/>
          </w:tcPr>
          <w:p>
            <w:pPr>
              <w:spacing w:after="40"/>
            </w:pPr>
            <w:r>
              <w:rPr>
                <w:rFonts w:ascii="Noto Sans" w:hAnsi="Noto Sans" w:eastAsia="Noto Sans TC" w:cs="Noto Sans"/>
                <w:sz w:val="17"/>
              </w:rPr>
              <w:t>dawnbloom-minigame-muted · Local Storage</w:t>
            </w:r>
          </w:p>
        </w:tc>
        <w:tc>
          <w:tcPr>
            <w:tcW w:type="dxa" w:w="2436"/>
            <w:vAlign w:val="center"/>
          </w:tcPr>
          <w:p>
            <w:pPr>
              <w:spacing w:after="40"/>
            </w:pPr>
            <w:r>
              <w:rPr>
                <w:rFonts w:ascii="Noto Sans" w:hAnsi="Noto Sans" w:eastAsia="Noto Sans TC" w:cs="Noto Sans"/>
                <w:sz w:val="17"/>
              </w:rPr>
              <w:t>Мини-игры DAWNBLOOM</w:t>
            </w:r>
          </w:p>
        </w:tc>
        <w:tc>
          <w:tcPr>
            <w:tcW w:type="dxa" w:w="2436"/>
            <w:vAlign w:val="center"/>
          </w:tcPr>
          <w:p>
            <w:pPr>
              <w:spacing w:after="40"/>
            </w:pPr>
            <w:r>
              <w:rPr>
                <w:rFonts w:ascii="Noto Sans" w:hAnsi="Noto Sans" w:eastAsia="Noto Sans TC" w:cs="Noto Sans"/>
                <w:sz w:val="17"/>
              </w:rPr>
              <w:t>Сохранять настрой отключения звука; функционально</w:t>
            </w:r>
          </w:p>
        </w:tc>
        <w:tc>
          <w:tcPr>
            <w:tcW w:type="dxa" w:w="2436"/>
            <w:vAlign w:val="center"/>
          </w:tcPr>
          <w:p>
            <w:pPr>
              <w:spacing w:after="40"/>
            </w:pPr>
            <w:r>
              <w:rPr>
                <w:rFonts w:ascii="Noto Sans" w:hAnsi="Noto Sans" w:eastAsia="Noto Sans TC" w:cs="Noto Sans"/>
                <w:sz w:val="17"/>
              </w:rPr>
              <w:t>Пока пользователь не очистит его или код сайта не изменится</w:t>
            </w:r>
          </w:p>
        </w:tc>
      </w:tr>
      <w:tr>
        <w:trPr>
          <w:cantSplit/>
        </w:trPr>
        <w:tc>
          <w:tcPr>
            <w:tcW w:type="dxa" w:w="2436"/>
            <w:vAlign w:val="center"/>
          </w:tcPr>
          <w:p>
            <w:pPr>
              <w:spacing w:after="40"/>
            </w:pPr>
            <w:r>
              <w:rPr>
                <w:rFonts w:ascii="Noto Sans" w:hAnsi="Noto Sans" w:eastAsia="Noto Sans TC" w:cs="Noto Sans"/>
                <w:sz w:val="17"/>
              </w:rPr>
              <w:t>Позиция музыки в мини-играх · Хранилище сессии</w:t>
            </w:r>
          </w:p>
        </w:tc>
        <w:tc>
          <w:tcPr>
            <w:tcW w:type="dxa" w:w="2436"/>
            <w:vAlign w:val="center"/>
          </w:tcPr>
          <w:p>
            <w:pPr>
              <w:spacing w:after="40"/>
            </w:pPr>
            <w:r>
              <w:rPr>
                <w:rFonts w:ascii="Noto Sans" w:hAnsi="Noto Sans" w:eastAsia="Noto Sans TC" w:cs="Noto Sans"/>
                <w:sz w:val="17"/>
              </w:rPr>
              <w:t>Мини-игры DAWNBLOOM</w:t>
            </w:r>
          </w:p>
        </w:tc>
        <w:tc>
          <w:tcPr>
            <w:tcW w:type="dxa" w:w="2436"/>
            <w:vAlign w:val="center"/>
          </w:tcPr>
          <w:p>
            <w:pPr>
              <w:spacing w:after="40"/>
            </w:pPr>
            <w:r>
              <w:rPr>
                <w:rFonts w:ascii="Noto Sans" w:hAnsi="Noto Sans" w:eastAsia="Noto Sans TC" w:cs="Noto Sans"/>
                <w:sz w:val="17"/>
              </w:rPr>
              <w:t>Продолжить музыку в той же вкладке; функционально</w:t>
            </w:r>
          </w:p>
        </w:tc>
        <w:tc>
          <w:tcPr>
            <w:tcW w:type="dxa" w:w="2436"/>
            <w:vAlign w:val="center"/>
          </w:tcPr>
          <w:p>
            <w:pPr>
              <w:spacing w:after="40"/>
            </w:pPr>
            <w:r>
              <w:rPr>
                <w:rFonts w:ascii="Noto Sans" w:hAnsi="Noto Sans" w:eastAsia="Noto Sans TC" w:cs="Noto Sans"/>
                <w:sz w:val="17"/>
              </w:rPr>
              <w:t>До окончания текущего сеанса вкладки браузера</w:t>
            </w:r>
          </w:p>
        </w:tc>
      </w:tr>
    </w:tbl>
    <w:p>
      <w:pPr>
        <w:spacing w:after="40"/>
      </w:pPr>
    </w:p>
    <w:p>
      <w:pPr>
        <w:keepLines w:val="0"/>
      </w:pPr>
      <w:r>
        <w:rPr>
          <w:rFonts w:ascii="Noto Sans" w:hAnsi="Noto Sans" w:eastAsia="Noto Sans TC" w:cs="Noto Sans"/>
          <w:b w:val="0"/>
        </w:rPr>
        <w:t>Куки безопасности Cloudflare и их срок действия зависят от фактической конфигурации безопасности и посещений; исходный код не может гарантировать, что они появляются при каждом визите. Любая новая аналитика или рекламные технологии, не являющиеся необходимыми, потребуют обновления этого списка и соответствующих выборов.</w:t>
      </w:r>
    </w:p>
    <w:p>
      <w:pPr>
        <w:pStyle w:val="Heading1"/>
        <w:keepLines w:val="0"/>
      </w:pPr>
      <w:r>
        <w:rPr>
          <w:rFonts w:ascii="Noto Sans" w:hAnsi="Noto Sans" w:eastAsia="Noto Sans TC" w:cs="Noto Sans"/>
          <w:b w:val="0"/>
        </w:rPr>
        <w:t>14. Свяжитесь с нами</w:t>
      </w:r>
    </w:p>
    <w:p>
      <w:pPr>
        <w:keepLines w:val="0"/>
      </w:pPr>
      <w:r>
        <w:rPr>
          <w:rFonts w:ascii="Noto Sans" w:hAnsi="Noto Sans" w:eastAsia="Noto Sans TC" w:cs="Noto Sans"/>
          <w:b w:val="0"/>
        </w:rPr>
        <w:t>Если у вас есть вопросы относительно файлов cookie, аналогичных технологий или настроек конфиденциальности, вы можете связаться с нами через следующие каналы:</w:t>
      </w:r>
    </w:p>
    <w:p>
      <w:pPr>
        <w:keepLines w:val="0"/>
      </w:pPr>
      <w:r>
        <w:rPr>
          <w:rFonts w:ascii="Noto Sans" w:hAnsi="Noto Sans" w:eastAsia="Noto Sans TC" w:cs="Noto Sans"/>
          <w:b w:val="0"/>
        </w:rPr>
        <w:t xml:space="preserve">Юридические вопросы, авторские права и конфиденциальность: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Общая поддержка игроков: </w:t>
      </w:r>
      <w:hyperlink r:id="rId13">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Официальный сайт: </w:t>
      </w:r>
      <w:hyperlink r:id="rId14">
        <w:r>
          <w:rPr>
            <w:rFonts w:ascii="Noto Sans" w:hAnsi="Noto Sans" w:eastAsia="Noto Sans TC"/>
            <w:b w:val="0"/>
          </w:rPr>
          <w:t xml:space="preserve">https://dawnbloom.net</w:t>
        </w:r>
      </w:hyperlink>
    </w:p>
    <w:p>
      <w:pPr>
        <w:keepLines w:val="0"/>
      </w:pPr>
      <w:r>
        <w:rPr>
          <w:rFonts w:ascii="Noto Sans" w:hAnsi="Noto Sans" w:eastAsia="Noto Sans TC" w:cs="Noto Sans"/>
          <w:b w:val="0"/>
        </w:rPr>
        <w:t>Оператор / поставщик веб-услуг: 上海追光智创文化传媒有限公司 (Публичное английское название: SHANGHAI LUMIREALM CREATIVE MEDIA CO., LTD.)</w:t>
      </w:r>
    </w:p>
    <w:p>
      <w:pPr>
        <w:keepLines w:val="0"/>
      </w:pPr>
      <w:r>
        <w:rPr>
          <w:rFonts w:ascii="Noto Sans" w:hAnsi="Noto Sans" w:eastAsia="Noto Sans TC" w:cs="Noto Sans"/>
          <w:b w:val="0"/>
        </w:rPr>
        <w:t>Адрес операций / Официальный контактный адрес: Комната 218, Здание 3, № 336, улица Тяньцяо, Специальная зона Линган, Пилотная зона свободной торговли Китая (Шанхай), Китай</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kr/."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DAWNBLOOM в отношении файлов cookie и аналогичных технологий</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