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40"/>
        <w:jc w:val="center"/>
      </w:pPr>
      <w:r>
        <w:rPr>
          <w:rFonts w:ascii="Noto Sans" w:hAnsi="Noto Sans" w:eastAsia="Noto Sans TC" w:cs="Noto Sans"/>
          <w:b/>
          <w:color w:val="142032"/>
          <w:sz w:val="40"/>
        </w:rPr>
        <w:t>Условия использования DAWNBLOOM AI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Версия: V8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Дата пересмотра: 10 октября 2026 года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Дата вступления в силу: 10 октября 2026 года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Поставщик сервиса: 上海追光智创文化传媒有限公司</w:t>
      </w:r>
    </w:p>
    <w:p>
      <w:pPr>
        <w:pStyle w:val="Heading1"/>
        <w:keepLines w:val="0"/>
      </w:pPr>
      <w:r>
        <w:rPr>
          <w:rFonts w:ascii="Noto Sans" w:hAnsi="Noto Sans" w:eastAsia="Noto Sans TC" w:cs="Noto Sans"/>
          <w:b w:val="0"/>
        </w:rPr>
        <w:t>1. Поставщик, наименования и область применения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Сервис предоставляется компанией 上海追光智创文化传媒有限公司. DAWNBLOOM AI — бренд интеллектуальной интерактивной системы и технологических сервисов нашей компании, а DAWNBLOOM Fairy — интеллектуальный помощник и образ для взаимодействия с пользователями в рамках той же системы сервисов. DAWNBLOOM AI 2.0 обозначает публичную версию этой системы интеллектуальных сервисов и не означает, что наша компания самостоятельно обучила базовую большую языковую модель. Настоящие условия применяются совместно с Условиями предоставления сервисов DAWNBLOOM, Политикой конфиденциальности, Правилами для игроков и другими применимыми политиками; они регулируют только вопросы, относящиеся непосредственно к интеллектуальным сервисам, и не ограничивают законные права.</w:t>
      </w:r>
    </w:p>
    <w:p>
      <w:pPr>
        <w:pStyle w:val="Heading1"/>
        <w:keepLines w:val="0"/>
      </w:pPr>
      <w:r>
        <w:rPr>
          <w:rFonts w:ascii="Noto Sans" w:hAnsi="Noto Sans" w:eastAsia="Noto Sans TC" w:cs="Noto Sans"/>
          <w:b w:val="0"/>
        </w:rPr>
        <w:t>2. Содержание сервиса и языковые ограничения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Сервис ограничивается ответами на вопросы об общедоступной информации об игре и продуктах, текстовым общением на естественном языке, помощью в обращении к сервисам для игроков и фактически доступными возможностями интерфейса Intelligent UI; языковая поддержка официального сайта не расширяет перечень языков игрового клиента или каждого из шести программных продуктов. В настоящее время не предоставляются создание или редактирование изображений, создание PDF, документов Word, слайдов и электронных таблиц, а также универсальная автоматизация офисных задач. Версия для официального сайта входит в систему поддержки 20 языков сайта; в игре по-прежнему доступны только четыре языка: китайский, английский, японский и корейский. Поддержка определенного языка не означает предоставление на нем поддержки сотрудниками или профессиональных юридических консультаций.</w:t>
      </w:r>
    </w:p>
    <w:p>
      <w:pPr>
        <w:pStyle w:val="Heading1"/>
        <w:keepLines w:val="0"/>
      </w:pPr>
      <w:r>
        <w:rPr>
          <w:rFonts w:ascii="Noto Sans" w:hAnsi="Noto Sans" w:eastAsia="Noto Sans TC" w:cs="Noto Sans"/>
          <w:b w:val="0"/>
        </w:rPr>
        <w:t>3. Общедоступные знания и защищенная информация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Ответы на вопросы ограничиваются материалами об игре, продуктах и поддержке, разрешенными к публичному распространению. Неопубликованные сюжетные материалы, задания, карты, вероятности, формулы, внутренние проектные материалы, сведения GM, меры безопасности и материалы об эксплуатации уязвимостей пользователям не предоставляются. Запрещается использовать вопросы и ответы для извлечения защищенных материалов.</w:t>
      </w:r>
    </w:p>
    <w:p>
      <w:pPr>
        <w:pStyle w:val="Heading1"/>
        <w:keepLines w:val="0"/>
      </w:pPr>
      <w:r>
        <w:rPr>
          <w:rFonts w:ascii="Noto Sans" w:hAnsi="Noto Sans" w:eastAsia="Noto Sans TC" w:cs="Noto Sans"/>
          <w:b w:val="0"/>
        </w:rPr>
        <w:t>4. Intelligent UI и подтверждение пользователем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Intelligent UI объединяет ответы с интерактивными информационными карточками, элементами доступа к функциям и интерфейсами подтверждения. Информация о фантастических существах, экипировке, предметах, личных игровых записях и безопасности аккаунта предоставляется только в пределах доступной функции, законного разрешения самого пользователя и подтвержденных серверной частью личности и соответствующих прав доступа. Появление ответа AI, карточки или кнопки не означает, что операция уже выполнена; чувствительные операции требуют официальной проверки и необходимых подтверждений, а их результат определяется системой. Запрещается обходить систему прав доступа для изменения данных игроков или чтения непубличной информации других лиц. Данные, явно обозначенные как демонстрационные, не являются личными записями пользователя и не подтверждают успешное выполнение реального запроса или операции.</w:t>
      </w:r>
    </w:p>
    <w:p>
      <w:pPr>
        <w:pStyle w:val="Heading1"/>
        <w:keepLines w:val="0"/>
      </w:pPr>
      <w:r>
        <w:rPr>
          <w:rFonts w:ascii="Noto Sans" w:hAnsi="Noto Sans" w:eastAsia="Noto Sans TC" w:cs="Noto Sans"/>
          <w:b w:val="0"/>
        </w:rPr>
        <w:t>5. Точность ответов и проверка важной информации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 xml:space="preserve">Ответы AI могут содержать ошибки понимания, пропуски или устаревшую информацию и не заменяют официальные объявления, правила игры, условия продажи товаров и возврата средств, записи, проверенные в рамках предоставленных полномочий, или результаты проверки сотрудниками. Пользователи должны самостоятельно проверять важную информацию и могут сообщать об ошибках или подавать обращения для обжалования по адресу </w:t>
      </w:r>
      <w:hyperlink r:id="rId11">
        <w:r>
          <w:rPr>
            <w:rFonts w:ascii="Noto Sans" w:hAnsi="Noto Sans" w:eastAsia="Noto Sans TC"/>
            <w:b w:val="0"/>
          </w:rPr>
          <w:t xml:space="preserve">support@dawnbloom.net</w:t>
        </w:r>
      </w:hyperlink>
      <w:r>
        <w:rPr>
          <w:rFonts w:ascii="Noto Sans" w:hAnsi="Noto Sans" w:eastAsia="Noto Sans TC" w:cs="Noto Sans"/>
          <w:b w:val="0"/>
        </w:rPr>
        <w:t xml:space="preserve">; рекомендации AI сами по себе не изменяют существующие права пользователей или предусмотренные законом средства правовой защиты. AI не принимает окончательных решений по юридическим, медицинским, финансовым и другим профессиональным вопросам.</w:t>
      </w:r>
    </w:p>
    <w:p>
      <w:pPr>
        <w:pStyle w:val="Heading1"/>
        <w:keepLines w:val="0"/>
      </w:pPr>
      <w:r>
        <w:rPr>
          <w:rFonts w:ascii="Noto Sans" w:hAnsi="Noto Sans" w:eastAsia="Noto Sans TC" w:cs="Noto Sans"/>
          <w:b w:val="0"/>
        </w:rPr>
        <w:t>6. Права и ответственность в отношении вводимых данных и результатов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Пользователь должен иметь право предоставлять вводимый контент и не должен передавать незаконную информацию или информацию, нарушающую права других лиц. Пользователь отвечает за законность использования и распространения результатов, а также за необходимую проверку. Генерация ответа нашей компанией не предоставляет прав на произведения, товарные знаки или персональные данные третьих лиц; настоящие условия не исключают права пользователей на результаты, существующие в силу закона, и другие законные права.</w:t>
      </w:r>
    </w:p>
    <w:p>
      <w:pPr>
        <w:pStyle w:val="Heading1"/>
        <w:keepLines w:val="0"/>
      </w:pPr>
      <w:r>
        <w:rPr>
          <w:rFonts w:ascii="Noto Sans" w:hAnsi="Noto Sans" w:eastAsia="Noto Sans TC" w:cs="Noto Sans"/>
          <w:b w:val="0"/>
        </w:rPr>
        <w:t>7. Безопасное использование и запрет злоупотреблений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Запрещаются атаки, злоупотребление массовыми запросами, выдача себя за другое лицо, обход проверочных кодов или прав доступа, отправка вредоносных инструкций, хищение непубличного контента и создание ложных официальных обещаний. Не предоставляйте пароли, полные одноразовые проверочные коды, платежные пароли, токены и другую чувствительную информацию, не требующуюся для обращения.</w:t>
      </w:r>
    </w:p>
    <w:p>
      <w:pPr>
        <w:pStyle w:val="Heading1"/>
        <w:keepLines w:val="0"/>
      </w:pPr>
      <w:r>
        <w:rPr>
          <w:rFonts w:ascii="Noto Sans" w:hAnsi="Noto Sans" w:eastAsia="Noto Sans TC" w:cs="Noto Sans"/>
          <w:b w:val="0"/>
        </w:rPr>
        <w:t>8. Данные аккаунта и игровые операции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Личных фантастических существ, экипировку, предметы, активы и записи можно просматривать только в пределах законного разрешения самого пользователя и серверной проверки. AI не получает полномочий GM и не изменяет напрямую активы, санкции или официальные игровые механики; восстановление, споры и обжалования проверяются в рамках официальных процедур.</w:t>
      </w:r>
    </w:p>
    <w:p>
      <w:pPr>
        <w:pStyle w:val="Heading1"/>
        <w:keepLines w:val="0"/>
      </w:pPr>
      <w:r>
        <w:rPr>
          <w:rFonts w:ascii="Noto Sans" w:hAnsi="Noto Sans" w:eastAsia="Noto Sans TC" w:cs="Noto Sans"/>
          <w:b w:val="0"/>
        </w:rPr>
        <w:t>9. Несовершеннолетние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Для аккаунтов и игровых сервисов сохраняется существующее требование о достижении 18 лет; использование AI его не смягчает. Доступ к общедоступным материалам не означает разрешения зарегистрировать или использовать игровой аккаунт. При обработке информации о несовершеннолетних соблюдаются применимые требования защиты; общение с AI не заменяет согласие законного представителя или проверку, необходимые по закону.</w:t>
      </w:r>
    </w:p>
    <w:p>
      <w:pPr>
        <w:pStyle w:val="Heading1"/>
        <w:keepLines w:val="0"/>
      </w:pPr>
      <w:r>
        <w:rPr>
          <w:rFonts w:ascii="Noto Sans" w:hAnsi="Noto Sans" w:eastAsia="Noto Sans TC" w:cs="Noto Sans"/>
          <w:b w:val="0"/>
        </w:rPr>
        <w:t>10. Сторонние модели и обработка данных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Техническое подключение использует возможности Qwen, предоставляемые Alibaba Cloud Model Studio; подключение к модели осуществляется через региональную конечную точку в Токио, Япония. Регион конечной точки не означает, что все данные пользователей обрабатываются исключительно в Японии, и не заменяет проверку фактических соглашений о сервисах, журналов поставщика, средств управления использованием данных для обучения, настроек хранения и обязательств при трансграничной передаче. OpenAI Codex участвует в построении базы знаний, разработке функций, проектировании взаимодействия и постоянном совершенствовании; это не означает автоматического получения им данных пользовательских чатов или обучения им базовой модели Qwen. Конкретные вводимые данные, контекст, журналы сервиса, хранение и управление использованием данных для обучения регулируются действующей Политикой конфиденциальности DAWNBLOOM, применимыми специальными уведомлениями и фактическими соглашениями о сервисах. Специальные положения о конфиденциальности AI еще проходят проверку; настоящие условия не заменяют подтверждение фактических обстоятельств обработки данных. Соответствующие модели или обработка персональных данных не предоставляются до завершения необходимых уведомлений, получения разрешений и проверки безопасности.</w:t>
      </w:r>
    </w:p>
    <w:p>
      <w:pPr>
        <w:pStyle w:val="Heading1"/>
        <w:keepLines w:val="0"/>
      </w:pPr>
      <w:r>
        <w:rPr>
          <w:rFonts w:ascii="Noto Sans" w:hAnsi="Noto Sans" w:eastAsia="Noto Sans TC" w:cs="Noto Sans"/>
          <w:b w:val="0"/>
        </w:rPr>
        <w:t>11. Доступность, сбои и изменения сервиса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Фактические функции определяются доступными точками входа и официальным состоянием сервиса. Техническое обслуживание, сбои, инциденты безопасности, ограничения мощности или неполадки у поставщика могут ограничивать отдельные сервисы; мы принимаем необходимые меры и уведомляем о существенных изменениях по надлежащим каналам. Прекращение запросов к модели не означает удаления аккаунта; существующие права по покупкам и предусмотренные законом средства правовой защиты не прекращаются автоматически из-за ограничений функций AI.</w:t>
      </w:r>
    </w:p>
    <w:p>
      <w:pPr>
        <w:pStyle w:val="Heading1"/>
        <w:keepLines w:val="0"/>
      </w:pPr>
      <w:r>
        <w:rPr>
          <w:rFonts w:ascii="Noto Sans" w:hAnsi="Noto Sans" w:eastAsia="Noto Sans TC" w:cs="Noto Sans"/>
          <w:b w:val="0"/>
        </w:rPr>
        <w:t>12. Меры при нарушениях, обжалование и исправление ошибок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В зависимости от фактического риска могут применяться ограничения частоты запросов, приостановление соответствующих интеллектуальных функций или меры, предусмотренные Правилами для игроков, с предоставлением официального канала обжалования. Пользователь может запросить исправление, предоставив конкретный ответ, время вопроса и необходимые материалы для проверки; скрывайте не относящиеся к вопросу персональные данные. Ответ AI сам по себе не является решением о применении санкций.</w:t>
      </w:r>
    </w:p>
    <w:p>
      <w:pPr>
        <w:pStyle w:val="Heading1"/>
        <w:keepLines w:val="0"/>
      </w:pPr>
      <w:r>
        <w:rPr>
          <w:rFonts w:ascii="Noto Sans" w:hAnsi="Noto Sans" w:eastAsia="Noto Sans TC" w:cs="Noto Sans"/>
          <w:b w:val="0"/>
        </w:rPr>
        <w:t>13. Прекращение использования и права в отношении данных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 xml:space="preserve">Пользователь может прекратить общение, отозвать согласие, которое допускается отозвать по закону, очистить локальную историю чата и направить запросы о доступе, исправлении, удалении, ограничении обработки или жалобы по адресу </w:t>
      </w:r>
      <w:hyperlink r:id="rId12">
        <w:r>
          <w:rPr>
            <w:rFonts w:ascii="Noto Sans" w:hAnsi="Noto Sans" w:eastAsia="Noto Sans TC"/>
            <w:b w:val="0"/>
          </w:rPr>
          <w:t xml:space="preserve">legal@dawnbloom.net</w:t>
        </w:r>
      </w:hyperlink>
      <w:r>
        <w:rPr>
          <w:rFonts w:ascii="Noto Sans" w:hAnsi="Noto Sans" w:eastAsia="Noto Sans TC" w:cs="Noto Sans"/>
          <w:b w:val="0"/>
        </w:rPr>
        <w:t xml:space="preserve"> либо через официальную поддержку. Очистка локальной истории не удаляет автоматически журналы сервиса, рабочие обращения или записи третьих лиц, сохраняемые на законных основаниях; последующая обработка осуществляется с учетом фактических категорий данных, законных обязательств, безопасности и необходимости разрешения незавершенных споров, не затрагивая существующие права. Прекращение использования не прекращает действительность ранее поданных жалоб, запросов на возврат средств, запросов по вопросам конфиденциальности или предусмотренных законом средств правовой защиты.</w:t>
      </w:r>
    </w:p>
    <w:p>
      <w:pPr>
        <w:pStyle w:val="Heading1"/>
        <w:keepLines w:val="0"/>
      </w:pPr>
      <w:r>
        <w:rPr>
          <w:rFonts w:ascii="Noto Sans" w:hAnsi="Noto Sans" w:eastAsia="Noto Sans TC" w:cs="Noto Sans"/>
          <w:b w:val="0"/>
        </w:rPr>
        <w:t>14. Обновления, жалобы и контакты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 xml:space="preserve">О существенных изменениях условий или обработки уведомляется в соответствии с применимым законодательством с выполнением необходимых процедур; уже возникшие законные права не сокращаются задним числом. Правовые вопросы и права в отношении данных: </w:t>
      </w:r>
      <w:hyperlink r:id="rId12">
        <w:r>
          <w:rPr>
            <w:rFonts w:ascii="Noto Sans" w:hAnsi="Noto Sans" w:eastAsia="Noto Sans TC"/>
            <w:b w:val="0"/>
          </w:rPr>
          <w:t xml:space="preserve">legal@dawnbloom.net</w:t>
        </w:r>
      </w:hyperlink>
      <w:r>
        <w:rPr>
          <w:rFonts w:ascii="Noto Sans" w:hAnsi="Noto Sans" w:eastAsia="Noto Sans TC" w:cs="Noto Sans"/>
          <w:b w:val="0"/>
        </w:rPr>
        <w:t xml:space="preserve">; поддержка и исправление ошибок: </w:t>
      </w:r>
      <w:hyperlink r:id="rId11">
        <w:r>
          <w:rPr>
            <w:rFonts w:ascii="Noto Sans" w:hAnsi="Noto Sans" w:eastAsia="Noto Sans TC"/>
            <w:b w:val="0"/>
          </w:rPr>
          <w:t xml:space="preserve">support@dawnbloom.net</w:t>
        </w:r>
      </w:hyperlink>
      <w:r>
        <w:rPr>
          <w:rFonts w:ascii="Noto Sans" w:hAnsi="Noto Sans" w:eastAsia="Noto Sans TC" w:cs="Noto Sans"/>
          <w:b w:val="0"/>
        </w:rPr>
        <w:t xml:space="preserve">; инциденты безопасности: </w:t>
      </w:r>
      <w:hyperlink r:id="rId13">
        <w:r>
          <w:rPr>
            <w:rFonts w:ascii="Noto Sans" w:hAnsi="Noto Sans" w:eastAsia="Noto Sans TC"/>
            <w:b w:val="0"/>
          </w:rPr>
          <w:t xml:space="preserve">security@dawnbloom.net</w:t>
        </w:r>
      </w:hyperlink>
      <w:r>
        <w:rPr>
          <w:rFonts w:ascii="Noto Sans" w:hAnsi="Noto Sans" w:eastAsia="Noto Sans TC" w:cs="Noto Sans"/>
          <w:b w:val="0"/>
        </w:rPr>
        <w:t xml:space="preserve">. Юридический адрес для связи остается указанным в официальной правовой информации.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91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Noto Sans" w:hAnsi="Noto Sans" w:eastAsia="Noto Sans TC"/>
        <w:sz w:val="16"/>
      </w:rPr>
      <w:t xml:space="preserve">dawnbloom.net  ·  </w:t>
    </w:r>
    <w: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Noto Sans" w:hAnsi="Noto Sans" w:eastAsia="Noto Sans TC"/>
        <w:color w:val="67778B"/>
        <w:sz w:val="15"/>
      </w:rPr>
      <w:t>DAWNBLOOM · OFFICIAL LEGAL DOCUMENT · V8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6" w:lineRule="auto"/>
    </w:pPr>
    <w:rPr>
      <w:rFonts w:ascii="Noto Sans" w:hAnsi="Noto Sans" w:eastAsia="Noto Sans TC"/>
      <w:color w:val="243042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Noto Sans" w:hAnsi="Noto Sans" w:eastAsia="Noto Sans TC"/>
      <w:b/>
      <w:bCs/>
      <w:color w:val="123C71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Noto Sans" w:hAnsi="Noto Sans" w:eastAsia="Noto Sans TC"/>
      <w:b/>
      <w:bCs/>
      <w:color w:val="123C71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/>
      <w:outlineLvl w:val="2"/>
    </w:pPr>
    <w:rPr>
      <w:rFonts w:asciiTheme="majorHAnsi" w:eastAsiaTheme="majorEastAsia" w:hAnsiTheme="majorHAnsi" w:cstheme="majorBidi" w:ascii="Noto Sans" w:hAnsi="Noto Sans" w:eastAsia="Noto Sans TC"/>
      <w:b/>
      <w:bCs/>
      <w:color w:val="123C71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Noto Sans" w:hAnsi="Noto Sans" w:eastAsia="Noto Sans TC"/>
      <w:b/>
      <w:color w:val="142032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mailto:support@dawnbloom.net" TargetMode="External"/><Relationship Id="rId12" Type="http://schemas.openxmlformats.org/officeDocument/2006/relationships/hyperlink" Target="mailto:legal@dawnbloom.net" TargetMode="External"/><Relationship Id="rId13" Type="http://schemas.openxmlformats.org/officeDocument/2006/relationships/hyperlink" Target="mailto:security@dawnbloom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Условия использования DAWNBLOOM AI</dc:title>
  <dc:subject>DAWNBLOOM legal document V8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