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Termos de Uso do DAWNBLOOM Token</w:t>
      </w:r>
    </w:p>
    <w:p>
      <w:pPr>
        <w:keepLines w:val="0"/>
      </w:pPr>
      <w:r>
        <w:rPr>
          <w:rFonts w:ascii="Noto Sans" w:hAnsi="Noto Sans" w:eastAsia="Noto Sans TC" w:cs="Noto Sans"/>
          <w:b w:val="0"/>
        </w:rPr>
        <w:t>Versão: V8</w:t>
      </w:r>
    </w:p>
    <w:p>
      <w:pPr>
        <w:keepLines w:val="0"/>
      </w:pPr>
      <w:r>
        <w:rPr>
          <w:rFonts w:ascii="Noto Sans" w:hAnsi="Noto Sans" w:eastAsia="Noto Sans TC" w:cs="Noto Sans"/>
          <w:b w:val="0"/>
        </w:rPr>
        <w:t>Data de revisão: 10 de outubro de 2026</w:t>
      </w:r>
    </w:p>
    <w:p>
      <w:pPr>
        <w:keepLines w:val="0"/>
      </w:pPr>
      <w:r>
        <w:rPr>
          <w:rFonts w:ascii="Noto Sans" w:hAnsi="Noto Sans" w:eastAsia="Noto Sans TC" w:cs="Noto Sans"/>
          <w:b w:val="0"/>
        </w:rPr>
        <w:t>Data de entrada em vigor: 10 de outubro de 2026</w:t>
      </w:r>
    </w:p>
    <w:p>
      <w:pPr>
        <w:keepLines w:val="0"/>
      </w:pPr>
      <w:r>
        <w:rPr>
          <w:rFonts w:ascii="Noto Sans" w:hAnsi="Noto Sans" w:eastAsia="Noto Sans TC" w:cs="Noto Sans"/>
          <w:b w:val="0"/>
        </w:rPr>
        <w:t>Prestadora: 上海追光智创文化传媒有限公司</w:t>
      </w:r>
    </w:p>
    <w:p>
      <w:pPr>
        <w:keepLines w:val="0"/>
      </w:pPr>
      <w:r>
        <w:rPr>
          <w:rFonts w:ascii="Noto Sans" w:hAnsi="Noto Sans" w:eastAsia="Noto Sans TC" w:cs="Noto Sans"/>
          <w:b w:val="0"/>
        </w:rPr>
        <w:t>Bem-vindo ao DAWNBLOOM Token. Estes termos aplicam-se ao download por canais oficiais, à instalação ou ao uso deste produto e de seus serviços oficiais relacionados. Leia-os primeiro; caso não concorde, não baixe nem utilize o produto.</w:t>
      </w:r>
    </w:p>
    <w:p>
      <w:pPr>
        <w:pStyle w:val="Heading1"/>
        <w:keepLines w:val="0"/>
      </w:pPr>
      <w:r>
        <w:rPr>
          <w:rFonts w:ascii="Noto Sans" w:hAnsi="Noto Sans" w:eastAsia="Noto Sans TC" w:cs="Noto Sans"/>
          <w:b w:val="0"/>
        </w:rPr>
        <w:t>Prestadora do serviço</w:t>
      </w:r>
    </w:p>
    <w:p>
      <w:pPr>
        <w:keepLines w:val="0"/>
      </w:pPr>
      <w:r>
        <w:rPr>
          <w:rFonts w:ascii="Noto Sans" w:hAnsi="Noto Sans" w:eastAsia="Noto Sans TC" w:cs="Noto Sans"/>
          <w:b w:val="0"/>
        </w:rPr>
        <w:t>上海追光智创文化传媒有限公司 · Sala 218, Edifício 3, nº 336, Rua Tianjiao, Nova Área de Lingang da Zona Piloto de Livre Comércio da China (Xangai)</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Âmbito do produto e conta</w:t>
      </w:r>
    </w:p>
    <w:p>
      <w:pPr>
        <w:keepLines w:val="0"/>
      </w:pPr>
      <w:r>
        <w:rPr>
          <w:rFonts w:ascii="Noto Sans" w:hAnsi="Noto Sans" w:eastAsia="Noto Sans TC" w:cs="Noto Sans"/>
          <w:b w:val="0"/>
        </w:rPr>
        <w:t>O DAWNBLOOM Token oferece acesso à conta DAWNBLOOM, à verificação de segurança e à comunidade e aos materiais oficiais. O registro, o login, a vinculação, a recuperação e o encerramento da conta continuam sujeitos às respectivas regras de conta; as regras do jogo e da comunidade aplicam-se de forma independente, e estes termos não alteram suas condições de participação. Códigos dinâmicos servem apenas à verificação de segurança da identidade e não são moeda, ativos ou comprovantes de rendimento.</w:t>
      </w:r>
    </w:p>
    <w:p>
      <w:pPr>
        <w:pStyle w:val="Heading1"/>
        <w:keepLines w:val="0"/>
      </w:pPr>
      <w:r>
        <w:rPr>
          <w:rFonts w:ascii="Noto Sans" w:hAnsi="Noto Sans" w:eastAsia="Noto Sans TC" w:cs="Noto Sans"/>
          <w:b w:val="0"/>
        </w:rPr>
        <w:t>Códigos de verificação e segurança do dispositivo</w:t>
      </w:r>
    </w:p>
    <w:p>
      <w:pPr>
        <w:keepLines w:val="0"/>
      </w:pPr>
      <w:r>
        <w:rPr>
          <w:rFonts w:ascii="Noto Sans" w:hAnsi="Noto Sans" w:eastAsia="Noto Sans TC" w:cs="Noto Sans"/>
          <w:b w:val="0"/>
        </w:rPr>
        <w:t>Proteja sua senha, as informações de vinculação e os códigos dinâmicos e aprove apenas verificações iniciadas por você. Os canais oficiais não solicitarão essas informações por mensagens privadas. Em caso de perda do dispositivo, vinculação anormal ou suspeita de furto de conta, procure o gerenciamento oficial de contas ou os canais de atendimento o mais rápido possível. A hora do dispositivo, a segurança do sistema e o estado da rede podem afetar a verificação; este produto não garante a prevenção de todo furto de conta, fraude ou risco relacionado ao dispositivo.</w:t>
      </w:r>
    </w:p>
    <w:p>
      <w:pPr>
        <w:pStyle w:val="Heading1"/>
        <w:keepLines w:val="0"/>
      </w:pPr>
      <w:r>
        <w:rPr>
          <w:rFonts w:ascii="Noto Sans" w:hAnsi="Noto Sans" w:eastAsia="Noto Sans TC" w:cs="Noto Sans"/>
          <w:b w:val="0"/>
        </w:rPr>
        <w:t>Licença do software</w:t>
      </w:r>
    </w:p>
    <w:p>
      <w:pPr>
        <w:keepLines w:val="0"/>
      </w:pPr>
      <w:r>
        <w:rPr>
          <w:rFonts w:ascii="Noto Sans" w:hAnsi="Noto Sans" w:eastAsia="Noto Sans TC" w:cs="Noto Sans"/>
          <w:b w:val="0"/>
        </w:rPr>
        <w:t>Desde que cumpra estes termos e a legislação aplicável, você pode instalar e utilizar a versão oficial em dispositivos compatíveis que possua ou controle legitimamente. A propriedade intelectual do software, da marca e do conteúdo relacionado permanece com seus respectivos titulares. Componentes de código aberto de terceiros são fornecidos conforme suas respectivas licenças.</w:t>
      </w:r>
    </w:p>
    <w:p>
      <w:pPr>
        <w:pStyle w:val="Heading1"/>
        <w:keepLines w:val="0"/>
      </w:pPr>
      <w:r>
        <w:rPr>
          <w:rFonts w:ascii="Noto Sans" w:hAnsi="Noto Sans" w:eastAsia="Noto Sans TC" w:cs="Noto Sans"/>
          <w:b w:val="0"/>
        </w:rPr>
        <w:t>Uso legal e serviços de terceiros</w:t>
      </w:r>
    </w:p>
    <w:p>
      <w:pPr>
        <w:keepLines w:val="0"/>
      </w:pPr>
      <w:r>
        <w:rPr>
          <w:rFonts w:ascii="Noto Sans" w:hAnsi="Noto Sans" w:eastAsia="Noto Sans TC" w:cs="Noto Sans"/>
          <w:b w:val="0"/>
        </w:rPr>
        <w:t>É proibido fazer-se passar por uma fonte oficial, distribuir software malicioso, subtrair contas, violar direitos de terceiros ou comprometer a segurança do serviço. Estes termos não restringem condutas permitidas pela legislação aplicável nem direitos concedidos por licenças de código aberto. Sites externos, fontes de conteúdo e lojas aplicam suas próprias regras; não controlamos seu conteúdo, disponibilidade ou cobranças.</w:t>
      </w:r>
    </w:p>
    <w:p>
      <w:pPr>
        <w:pStyle w:val="Heading1"/>
        <w:keepLines w:val="0"/>
      </w:pPr>
      <w:r>
        <w:rPr>
          <w:rFonts w:ascii="Noto Sans" w:hAnsi="Noto Sans" w:eastAsia="Noto Sans TC" w:cs="Noto Sans"/>
          <w:b w:val="0"/>
        </w:rPr>
        <w:t>Privacidade e confirmações necessárias</w:t>
      </w:r>
    </w:p>
    <w:p>
      <w:pPr>
        <w:keepLines w:val="0"/>
      </w:pPr>
      <w:r>
        <w:rPr>
          <w:rFonts w:ascii="Noto Sans" w:hAnsi="Noto Sans" w:eastAsia="Noto Sans TC" w:cs="Noto Sans"/>
          <w:b w:val="0"/>
        </w:rPr>
        <w:t>O tratamento de informações pessoais é regido pelo aviso de privacidade deste produto e pela Política de Privacidade DAWNBLOOM. Estes termos não substituem permissões do sistema, confirmações de operações da conta, da sincronização opcional ou outras confirmações separadas exigidas por lei; você pode recusar funcionalidades opcionais.</w:t>
      </w:r>
    </w:p>
    <w:p>
      <w:pPr>
        <w:pStyle w:val="Heading1"/>
        <w:keepLines w:val="0"/>
      </w:pPr>
      <w:r>
        <w:rPr>
          <w:rFonts w:ascii="Noto Sans" w:hAnsi="Noto Sans" w:eastAsia="Noto Sans TC" w:cs="Noto Sans"/>
          <w:b w:val="0"/>
        </w:rPr>
        <w:t>Disponibilidade, atualizações e cobranças</w:t>
      </w:r>
    </w:p>
    <w:p>
      <w:pPr>
        <w:keepLines w:val="0"/>
      </w:pPr>
      <w:r>
        <w:rPr>
          <w:rFonts w:ascii="Noto Sans" w:hAnsi="Noto Sans" w:eastAsia="Noto Sans TC" w:cs="Noto Sans"/>
          <w:b w:val="0"/>
        </w:rPr>
        <w:t>As funcionalidades e os canais são determinados pela versão efetivamente disponibilizada ao público e podem variar entre plataformas, dispositivos ou regiões. O número de versão unificado do site oficial não significa que todas as lojas já disponibilizem a mesma versão. Poderemos fornecer atualizações de segurança e funcionalidades; caso sejam introduzidas cobranças, informaremos previamente, de forma clara, o preço, o âmbito e as regras aplicáveis, sem efetuar cobranças apenas com base nestes termos. Ao obter o software por uma loja, você também deve observar as regras de licença e de compra aplicáveis nessa loja.</w:t>
      </w:r>
    </w:p>
    <w:p>
      <w:pPr>
        <w:pStyle w:val="Heading1"/>
        <w:keepLines w:val="0"/>
      </w:pPr>
      <w:r>
        <w:rPr>
          <w:rFonts w:ascii="Noto Sans" w:hAnsi="Noto Sans" w:eastAsia="Noto Sans TC" w:cs="Noto Sans"/>
          <w:b w:val="0"/>
        </w:rPr>
        <w:t>Limitações do serviço e direitos dos usuários</w:t>
      </w:r>
    </w:p>
    <w:p>
      <w:pPr>
        <w:keepLines w:val="0"/>
      </w:pPr>
      <w:r>
        <w:rPr>
          <w:rFonts w:ascii="Noto Sans" w:hAnsi="Noto Sans" w:eastAsia="Noto Sans TC" w:cs="Noto Sans"/>
          <w:b w:val="0"/>
        </w:rPr>
        <w:t>Manteremos o produto de forma razoável, mas não prometemos que ele estará sempre livre de erros, sem interrupções ou plenamente adequado a uma finalidade específica em todos os ambientes. Mantenha cópias de segurança apropriadas de informações e arquivos importantes. Qualquer limitação de responsabilidade aplica-se apenas na medida permitida pela legislação aplicável, não exclui responsabilidades que não possam ser legalmente excluídas, não afasta a responsabilidade legal por dolo ou culpa grave e não reduz direitos obrigatórios do consumidor.</w:t>
      </w:r>
    </w:p>
    <w:p>
      <w:pPr>
        <w:pStyle w:val="Heading1"/>
        <w:keepLines w:val="0"/>
      </w:pPr>
      <w:r>
        <w:rPr>
          <w:rFonts w:ascii="Noto Sans" w:hAnsi="Noto Sans" w:eastAsia="Noto Sans TC" w:cs="Noto Sans"/>
          <w:b w:val="0"/>
        </w:rPr>
        <w:t>Interrupção do uso e medidas relativas ao serviço</w:t>
      </w:r>
    </w:p>
    <w:p>
      <w:pPr>
        <w:keepLines w:val="0"/>
      </w:pPr>
      <w:r>
        <w:rPr>
          <w:rFonts w:ascii="Noto Sans" w:hAnsi="Noto Sans" w:eastAsia="Noto Sans TC" w:cs="Noto Sans"/>
          <w:b w:val="0"/>
        </w:rPr>
        <w:t>Você pode interromper o uso e desinstalar o software. Desinstalar, sair da conta e encerrar a conta DAWNBLOOM são operações distintas; para encerrar a conta, utilize o procedimento oficial. Em caso de riscos de segurança, condutas ilícitas ou violações graves dos termos, poderemos adotar restrições necessárias e proporcionais e, quando viável e permitido por lei, explicar os motivos e fornecer meios de contato ou recurso.</w:t>
      </w:r>
    </w:p>
    <w:p>
      <w:pPr>
        <w:pStyle w:val="Heading1"/>
        <w:keepLines w:val="0"/>
      </w:pPr>
      <w:r>
        <w:rPr>
          <w:rFonts w:ascii="Noto Sans" w:hAnsi="Noto Sans" w:eastAsia="Noto Sans TC" w:cs="Noto Sans"/>
          <w:b w:val="0"/>
        </w:rPr>
        <w:t>Atualização dos termos e solução de disputas</w:t>
      </w:r>
    </w:p>
    <w:p>
      <w:pPr>
        <w:keepLines w:val="0"/>
      </w:pPr>
      <w:r>
        <w:rPr>
          <w:rFonts w:ascii="Noto Sans" w:hAnsi="Noto Sans" w:eastAsia="Noto Sans TC" w:cs="Noto Sans"/>
          <w:b w:val="0"/>
        </w:rPr>
        <w:t>As atualizações dos termos indicarão a data. Alterações relevantes serão comunicadas de forma razoável, e novo consentimento expresso será obtido separadamente quando exigido por lei. Sem prejuízo da legislação obrigatória do local do usuário e dos direitos do consumidor, estes termos são regidos pelas leis da República Popular da China. As disputas devem ser inicialmente objeto de negociação amigável; se não houver solução, poderão ser submetidas, nos termos da lei, ao tribunal competente, sem excluir os meios de proteção legalmente disponíveis ao usuário.</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Uso do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