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Aviso de Canais Oficiais e Antifraude da DAWNBLOOM</w:t>
      </w:r>
    </w:p>
    <w:p>
      <w:pPr>
        <w:keepLines w:val="0"/>
      </w:pPr>
      <w:r>
        <w:rPr>
          <w:rFonts w:ascii="Noto Sans" w:hAnsi="Noto Sans" w:eastAsia="Arial Unicode MS" w:cs="Noto Sans"/>
          <w:b w:val="0"/>
        </w:rPr>
        <w:t>Versão oficial</w:t>
      </w:r>
    </w:p>
    <w:p>
      <w:pPr>
        <w:keepLines w:val="0"/>
      </w:pPr>
      <w:r>
        <w:rPr>
          <w:rFonts w:ascii="Noto Sans" w:hAnsi="Noto Sans" w:eastAsia="Arial Unicode MS" w:cs="Noto Sans"/>
          <w:b w:val="0"/>
        </w:rPr>
        <w:t>CANAIS OFICIAIS E AVISO ANTIFRAUDE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Verifique apenas o site oficial</w:t>
              <w:br/>
              <w:t>https://dawnbloom.net</w:t>
            </w:r>
          </w:p>
        </w:tc>
      </w:tr>
    </w:tbl>
    <w:p>
      <w:pPr>
        <w:spacing w:after="40"/>
      </w:pPr>
    </w:p>
    <w:p>
      <w:pPr>
        <w:keepLines w:val="0"/>
      </w:pPr>
      <w:r>
        <w:rPr>
          <w:rFonts w:ascii="Noto Sans" w:hAnsi="Noto Sans" w:eastAsia="Arial Unicode MS" w:cs="Noto Sans"/>
          <w:b w:val="0"/>
        </w:rPr>
        <w:t>V8 · 10 de outubro de 2026</w:t>
      </w:r>
    </w:p>
    <w:p>
      <w:pPr>
        <w:keepLines w:val="0"/>
      </w:pPr>
      <w:r>
        <w:rPr>
          <w:rFonts w:ascii="Noto Sans" w:hAnsi="Noto Sans" w:eastAsia="Arial Unicode MS" w:cs="Noto Sans"/>
          <w:b w:val="0"/>
        </w:rPr>
        <w:t>Data de entrada em vigor: 10 de outubro de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Qualquer site, atendimento ao cliente, conta de mídia social ou página de pagamento que alegue representar a DAWNBLOOM (DAWNBLOOM) e que não esteja explicitamente listado neste aviso ou no site oficial não deve fornecer informações da conta, códigos de verificação nem ser solicitado a efetuar pagamentos.</w:t>
            </w:r>
          </w:p>
        </w:tc>
      </w:tr>
    </w:tbl>
    <w:p>
      <w:pPr>
        <w:spacing w:after="40"/>
      </w:pPr>
    </w:p>
    <w:p>
      <w:pPr>
        <w:pStyle w:val="Heading1"/>
        <w:keepLines w:val="0"/>
      </w:pPr>
      <w:r>
        <w:rPr>
          <w:rFonts w:ascii="Noto Sans" w:hAnsi="Noto Sans" w:eastAsia="Arial Unicode MS" w:cs="Noto Sans"/>
          <w:b w:val="0"/>
        </w:rPr>
        <w:t>1. Finalidade deste Aviso</w:t>
      </w:r>
    </w:p>
    <w:p>
      <w:pPr>
        <w:keepLines w:val="0"/>
      </w:pPr>
      <w:r>
        <w:rPr>
          <w:rFonts w:ascii="Noto Sans" w:hAnsi="Noto Sans" w:eastAsia="Arial Unicode MS" w:cs="Noto Sans"/>
          <w:b w:val="0"/>
        </w:rPr>
        <w:t>Este aviso destina-se a ajudar os jogadores a identificar o site oficial, o endereço de e-mail oficial, as mídias sociais oficiais e os canais de atendimento ao cliente do "DAWNBLOOM" (DAWNBLOOM). Seu objetivo é reduzir os riscos associados a atendimento ao cliente falso, serviços de recarga falsos, sites de phishing, links de roubo de conta, reivindicações falsas de reembolso e suplantação de identidade por pessoal não autorizado. Os canais oficiais podem ser adicionados, realocados ou renomeados de acordo com os ajustes da plataforma; quaisquer alterações ou atualizações serão finalizadas e anunciadas oficialmente através de dawnbloom.net.</w:t>
      </w:r>
    </w:p>
    <w:p>
      <w:pPr>
        <w:keepLines w:val="0"/>
      </w:pPr>
      <w:r>
        <w:rPr>
          <w:rFonts w:ascii="Noto Sans" w:hAnsi="Noto Sans" w:eastAsia="Arial Unicode MS" w:cs="Noto Sans"/>
          <w:b w:val="0"/>
        </w:rPr>
        <w:t>Este aviso também ajuda os usuários a identificar páginas, instaladores, atualizações e suporte para o jogo, Token, Browser, News, Mail, Download e Archive. Não obtenha produtos não lançados de hosts de arquivos desconhecidos, compartilhamentos de grupo, chats privados ou sites de software crackeado.</w:t>
      </w:r>
    </w:p>
    <w:p>
      <w:pPr>
        <w:pStyle w:val="Heading1"/>
        <w:keepLines w:val="0"/>
      </w:pPr>
      <w:r>
        <w:rPr>
          <w:rFonts w:ascii="Noto Sans" w:hAnsi="Noto Sans" w:eastAsia="Arial Unicode MS" w:cs="Noto Sans"/>
          <w:b w:val="0"/>
        </w:rPr>
        <w:t>2. Canais Oficiais</w:t>
      </w:r>
    </w:p>
    <w:p>
      <w:pPr>
        <w:keepLines w:val="0"/>
      </w:pPr>
      <w:r>
        <w:rPr>
          <w:rFonts w:ascii="Noto Sans" w:hAnsi="Noto Sans" w:eastAsia="Arial Unicode MS" w:cs="Noto Sans"/>
          <w:b w:val="0"/>
        </w:rPr>
        <w:t>DAWNBLOOM Fairy e DAWNBLOOM AI pertencem ao mesmo conjunto de serviços inteligentes da empresa. Não envie em conversas senhas, códigos completos de verificação de uso único, tokens de acesso ou credenciais de pagamento. Recomendações de IA e cartões do Intelligent UI não substituem a verificação oficial de identidade; operações sobre contas, ativos e dados pessoais devem continuar passando pelos procedimentos oficiais de serviço devidamente verificados. Não confie em mensagens que, em nome da IA, solicitem contornar verificações, pagar contas particulares ou enviar informações sensíveis em domínios semelhantes.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Canal</w:t>
            </w:r>
          </w:p>
        </w:tc>
        <w:tc>
          <w:tcPr>
            <w:tcW w:type="dxa" w:w="3249"/>
            <w:vAlign w:val="center"/>
            <w:shd w:fill="DCE8F7"/>
          </w:tcPr>
          <w:p>
            <w:pPr>
              <w:keepNext/>
              <w:spacing w:after="40"/>
            </w:pPr>
            <w:r>
              <w:rPr>
                <w:rFonts w:ascii="Noto Sans" w:hAnsi="Noto Sans" w:eastAsia="Arial Unicode MS" w:cs="Noto Sans"/>
                <w:b/>
                <w:sz w:val="17"/>
              </w:rPr>
              <w:t>Informações oficiais</w:t>
            </w:r>
          </w:p>
        </w:tc>
        <w:tc>
          <w:tcPr>
            <w:tcW w:type="dxa" w:w="3249"/>
            <w:vAlign w:val="center"/>
            <w:shd w:fill="DCE8F7"/>
          </w:tcPr>
          <w:p>
            <w:pPr>
              <w:keepNext/>
              <w:spacing w:after="40"/>
            </w:pPr>
            <w:r>
              <w:rPr>
                <w:rFonts w:ascii="Noto Sans" w:hAnsi="Noto Sans" w:eastAsia="Arial Unicode MS" w:cs="Noto Sans"/>
                <w:b/>
                <w:sz w:val="17"/>
              </w:rPr>
              <w:t>Propósito</w:t>
            </w:r>
          </w:p>
        </w:tc>
      </w:tr>
      <w:tr>
        <w:trPr>
          <w:cantSplit/>
        </w:trPr>
        <w:tc>
          <w:tcPr>
            <w:tcW w:type="dxa" w:w="3249"/>
            <w:vAlign w:val="center"/>
          </w:tcPr>
          <w:p>
            <w:pPr>
              <w:spacing w:after="40"/>
            </w:pPr>
            <w:r>
              <w:rPr>
                <w:rFonts w:ascii="Noto Sans" w:hAnsi="Noto Sans" w:eastAsia="Arial Unicode MS" w:cs="Noto Sans"/>
                <w:sz w:val="17"/>
              </w:rPr>
              <w:t>Único site global</w:t>
            </w:r>
          </w:p>
        </w:tc>
        <w:tc>
          <w:tcPr>
            <w:tcW w:type="dxa" w:w="3249"/>
            <w:vAlign w:val="center"/>
          </w:tcPr>
          <w:p>
            <w:pPr>
              <w:spacing w:after="40"/>
            </w:pPr>
            <w:hyperlink r:id="rId11">
              <w:r>
                <w:rPr>
                  <w:rFonts w:ascii="Noto Sans" w:hAnsi="Noto Sans" w:eastAsia="Arial Unicode MS"/>
                  <w:sz w:val="17"/>
                </w:rPr>
                <w:t xml:space="preserve">https://dawnbloom.net</w:t>
              </w:r>
            </w:hyperlink>
          </w:p>
        </w:tc>
        <w:tc>
          <w:tcPr>
            <w:tcW w:type="dxa" w:w="3249"/>
            <w:vAlign w:val="center"/>
          </w:tcPr>
          <w:p>
            <w:pPr>
              <w:spacing w:after="40"/>
            </w:pPr>
            <w:r>
              <w:rPr>
                <w:rFonts w:ascii="Noto Sans" w:hAnsi="Noto Sans" w:eastAsia="Arial Unicode MS" w:cs="Noto Sans"/>
                <w:sz w:val="17"/>
              </w:rPr>
              <w:t>Documentos legais, downloads de jogos, serviços de conta, comunidade, loja, anúncios e pontos de entrada oficiais</w:t>
            </w:r>
          </w:p>
        </w:tc>
      </w:tr>
      <w:tr>
        <w:trPr>
          <w:cantSplit/>
        </w:trPr>
        <w:tc>
          <w:tcPr>
            <w:tcW w:type="dxa" w:w="3249"/>
            <w:vAlign w:val="center"/>
          </w:tcPr>
          <w:p>
            <w:pPr>
              <w:spacing w:after="40"/>
            </w:pPr>
            <w:r>
              <w:rPr>
                <w:rFonts w:ascii="Noto Sans" w:hAnsi="Noto Sans" w:eastAsia="Arial Unicode MS" w:cs="Noto Sans"/>
                <w:sz w:val="17"/>
              </w:rPr>
              <w:t>Entrada oficial em chinês</w:t>
            </w:r>
          </w:p>
        </w:tc>
        <w:tc>
          <w:tcPr>
            <w:tcW w:type="dxa" w:w="3249"/>
            <w:vAlign w:val="center"/>
          </w:tcPr>
          <w:p>
            <w:pPr>
              <w:spacing w:after="40"/>
            </w:pPr>
            <w:r>
              <w:rPr>
                <w:rFonts w:ascii="Noto Sans" w:hAnsi="Noto Sans" w:eastAsia="Arial Unicode MS" w:cs="Noto Sans"/>
                <w:sz w:val="17"/>
              </w:rPr>
              <w:t>https://dawnbloom.com.cn</w:t>
              <w:br/>
              <w:t>www.dawnbloom.com.cn</w:t>
            </w:r>
          </w:p>
        </w:tc>
        <w:tc>
          <w:tcPr>
            <w:tcW w:type="dxa" w:w="3249"/>
            <w:vAlign w:val="center"/>
          </w:tcPr>
          <w:p>
            <w:pPr>
              <w:spacing w:after="40"/>
            </w:pPr>
            <w:r>
              <w:rPr>
                <w:rFonts w:ascii="Noto Sans" w:hAnsi="Noto Sans" w:eastAsia="Arial Unicode MS" w:cs="Noto Sans"/>
                <w:sz w:val="17"/>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Entrada oficial em japonês</w:t>
            </w:r>
          </w:p>
        </w:tc>
        <w:tc>
          <w:tcPr>
            <w:tcW w:type="dxa" w:w="3249"/>
            <w:vAlign w:val="center"/>
          </w:tcPr>
          <w:p>
            <w:pPr>
              <w:spacing w:after="40"/>
            </w:pPr>
            <w:r>
              <w:rPr>
                <w:rFonts w:ascii="Noto Sans" w:hAnsi="Noto Sans" w:eastAsia="Arial Unicode MS" w:cs="Noto Sans"/>
                <w:sz w:val="17"/>
              </w:rPr>
              <w:t>https://dawnbloom.jp</w:t>
              <w:br/>
              <w:t>www.dawnbloom.jp</w:t>
            </w:r>
          </w:p>
        </w:tc>
        <w:tc>
          <w:tcPr>
            <w:tcW w:type="dxa" w:w="3249"/>
            <w:vAlign w:val="center"/>
          </w:tcPr>
          <w:p>
            <w:pPr>
              <w:spacing w:after="40"/>
            </w:pPr>
            <w:r>
              <w:rPr>
                <w:rFonts w:ascii="Noto Sans" w:hAnsi="Noto Sans" w:eastAsia="Arial Unicode MS" w:cs="Noto Sans"/>
                <w:sz w:val="17"/>
              </w:rPr>
              <w:t xml:space="preserve">Aberto;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Entrada oficial de idioma coreano</w:t>
            </w:r>
          </w:p>
        </w:tc>
        <w:tc>
          <w:tcPr>
            <w:tcW w:type="dxa" w:w="3249"/>
            <w:vAlign w:val="center"/>
          </w:tcPr>
          <w:p>
            <w:pPr>
              <w:spacing w:after="40"/>
            </w:pPr>
            <w:hyperlink r:id="rId14">
              <w:r>
                <w:rPr>
                  <w:rFonts w:ascii="Noto Sans" w:hAnsi="Noto Sans" w:eastAsia="Arial Unicode MS"/>
                  <w:sz w:val="17"/>
                </w:rPr>
                <w:t xml:space="preserve">https://dawnbloom.kr</w:t>
              </w:r>
            </w:hyperlink>
            <w:r>
              <w:rPr>
                <w:rFonts w:ascii="Noto Sans" w:hAnsi="Noto Sans" w:eastAsia="Arial Unicode MS" w:cs="Noto Sans"/>
                <w:sz w:val="17"/>
              </w:rPr>
              <w:t xml:space="preserve"> · www.dawnbloom.kr</w:t>
            </w:r>
          </w:p>
        </w:tc>
        <w:tc>
          <w:tcPr>
            <w:tcW w:type="dxa" w:w="3249"/>
            <w:vAlign w:val="center"/>
          </w:tcPr>
          <w:p>
            <w:pPr>
              <w:spacing w:after="40"/>
            </w:pPr>
            <w:r>
              <w:rPr>
                <w:rFonts w:ascii="Noto Sans" w:hAnsi="Noto Sans" w:eastAsia="Arial Unicode MS" w:cs="Noto Sans"/>
                <w:sz w:val="17"/>
              </w:rPr>
              <w:t xml:space="preserve">As entradas oficiais em coreano dawnbloom.kr e www.dawnbloom.kr usam redirecionamentos HTTPS 301 para </w:t>
            </w:r>
            <w:hyperlink r:id="rId15">
              <w:r>
                <w:rPr>
                  <w:rFonts w:ascii="Noto Sans" w:hAnsi="Noto Sans" w:eastAsia="Arial Unicode MS"/>
                  <w:sz w:val="17"/>
                </w:rPr>
                <w:t xml:space="preserve">https://dawnbloom.net/kr/.</w:t>
              </w:r>
            </w:hyperlink>
            <w:r>
              <w:rPr>
                <w:rFonts w:ascii="Noto Sans" w:hAnsi="Noto Sans" w:eastAsia="Arial Unicode MS" w:cs="Noto Sans"/>
                <w:sz w:val="17"/>
              </w:rPr>
              <w:t xml:space="preserve"> As alterações de DNS podem demorar para se propagar. Elas usam o site unificado e não criam um site separado, conta, banco de dados ou servidor de jogo coreano.</w:t>
            </w:r>
          </w:p>
        </w:tc>
      </w:tr>
      <w:tr>
        <w:trPr>
          <w:cantSplit/>
        </w:trPr>
        <w:tc>
          <w:tcPr>
            <w:tcW w:type="dxa" w:w="3249"/>
            <w:vAlign w:val="center"/>
          </w:tcPr>
          <w:p>
            <w:pPr>
              <w:spacing w:after="40"/>
            </w:pPr>
            <w:r>
              <w:rPr>
                <w:rFonts w:ascii="Noto Sans" w:hAnsi="Noto Sans" w:eastAsia="Arial Unicode MS" w:cs="Noto Sans"/>
                <w:sz w:val="17"/>
              </w:rPr>
              <w:t>Entrada existente de proteção de marca em chinês</w:t>
            </w:r>
          </w:p>
        </w:tc>
        <w:tc>
          <w:tcPr>
            <w:tcW w:type="dxa" w:w="3249"/>
            <w:vAlign w:val="center"/>
          </w:tcPr>
          <w:p>
            <w:pPr>
              <w:spacing w:after="40"/>
            </w:pPr>
            <w:r>
              <w:rPr>
                <w:rFonts w:ascii="Noto Sans" w:hAnsi="Noto Sans" w:eastAsia="Arial Unicode MS" w:cs="Noto Sans"/>
                <w:sz w:val="17"/>
              </w:rPr>
              <w:t>DAWNBLOOM.com</w:t>
              <w:br/>
              <w:t>xn--jhqp2f4z3amfugzo.com</w:t>
            </w:r>
          </w:p>
        </w:tc>
        <w:tc>
          <w:tcPr>
            <w:tcW w:type="dxa" w:w="3249"/>
            <w:vAlign w:val="center"/>
          </w:tcPr>
          <w:p>
            <w:pPr>
              <w:spacing w:after="40"/>
            </w:pPr>
            <w:r>
              <w:rPr>
                <w:rFonts w:ascii="Noto Sans" w:hAnsi="Noto Sans" w:eastAsia="Arial Unicode MS" w:cs="Noto Sans"/>
                <w:sz w:val="17"/>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Entrada existente de proteção de marca em japonês</w:t>
            </w:r>
          </w:p>
        </w:tc>
        <w:tc>
          <w:tcPr>
            <w:tcW w:type="dxa" w:w="3249"/>
            <w:vAlign w:val="center"/>
          </w:tcPr>
          <w:p>
            <w:pPr>
              <w:spacing w:after="40"/>
            </w:pPr>
            <w:r>
              <w:rPr>
                <w:rFonts w:ascii="Noto Sans" w:hAnsi="Noto Sans" w:eastAsia="Arial Unicode MS" w:cs="Noto Sans"/>
                <w:sz w:val="17"/>
              </w:rPr>
              <w:t>光と花咲く森.com</w:t>
              <w:br/>
              <w:t>xn--y8j6bw89l23cbo7ari8a.com</w:t>
            </w:r>
          </w:p>
        </w:tc>
        <w:tc>
          <w:tcPr>
            <w:tcW w:type="dxa" w:w="3249"/>
            <w:vAlign w:val="center"/>
          </w:tcPr>
          <w:p>
            <w:pPr>
              <w:spacing w:after="40"/>
            </w:pPr>
            <w:r>
              <w:rPr>
                <w:rFonts w:ascii="Noto Sans" w:hAnsi="Noto Sans" w:eastAsia="Arial Unicode MS" w:cs="Noto Sans"/>
                <w:sz w:val="17"/>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E-mail do atendimento ao cliente</w:t>
            </w:r>
          </w:p>
        </w:tc>
        <w:tc>
          <w:tcPr>
            <w:tcW w:type="dxa" w:w="3249"/>
            <w:vAlign w:val="center"/>
          </w:tcPr>
          <w:p>
            <w:pPr>
              <w:spacing w:after="40"/>
            </w:pPr>
            <w:hyperlink r:id="rId16">
              <w:r>
                <w:rPr>
                  <w:rFonts w:ascii="Noto Sans" w:hAnsi="Noto Sans" w:eastAsia="Arial Unicode MS"/>
                  <w:sz w:val="17"/>
                </w:rPr>
                <w:t xml:space="preserve">support@dawnbloom.net</w:t>
              </w:r>
            </w:hyperlink>
          </w:p>
        </w:tc>
        <w:tc>
          <w:tcPr>
            <w:tcW w:type="dxa" w:w="3249"/>
            <w:vAlign w:val="center"/>
          </w:tcPr>
          <w:p>
            <w:pPr>
              <w:spacing w:after="40"/>
            </w:pPr>
            <w:r>
              <w:rPr>
                <w:rFonts w:ascii="Noto Sans" w:hAnsi="Noto Sans" w:eastAsia="Arial Unicode MS" w:cs="Noto Sans"/>
                <w:sz w:val="17"/>
              </w:rPr>
              <w:t>Atendimento ao jogador, problemas de conta, situações anormais e suporte geral</w:t>
            </w:r>
          </w:p>
        </w:tc>
      </w:tr>
      <w:tr>
        <w:trPr>
          <w:cantSplit/>
        </w:trPr>
        <w:tc>
          <w:tcPr>
            <w:tcW w:type="dxa" w:w="3249"/>
            <w:vAlign w:val="center"/>
          </w:tcPr>
          <w:p>
            <w:pPr>
              <w:spacing w:after="40"/>
            </w:pPr>
            <w:r>
              <w:rPr>
                <w:rFonts w:ascii="Noto Sans" w:hAnsi="Noto Sans" w:eastAsia="Arial Unicode MS" w:cs="Noto Sans"/>
                <w:sz w:val="17"/>
              </w:rPr>
              <w:t>Sugestões / reclamações</w:t>
            </w:r>
          </w:p>
        </w:tc>
        <w:tc>
          <w:tcPr>
            <w:tcW w:type="dxa" w:w="3249"/>
            <w:vAlign w:val="center"/>
          </w:tcPr>
          <w:p>
            <w:pPr>
              <w:spacing w:after="40"/>
            </w:pPr>
            <w:hyperlink r:id="rId17">
              <w:r>
                <w:rPr>
                  <w:rFonts w:ascii="Noto Sans" w:hAnsi="Noto Sans" w:eastAsia="Arial Unicode MS"/>
                  <w:sz w:val="17"/>
                </w:rPr>
                <w:t xml:space="preserve">hello@dawnbloom.net</w:t>
              </w:r>
            </w:hyperlink>
          </w:p>
        </w:tc>
        <w:tc>
          <w:tcPr>
            <w:tcW w:type="dxa" w:w="3249"/>
            <w:vAlign w:val="center"/>
          </w:tcPr>
          <w:p>
            <w:pPr>
              <w:spacing w:after="40"/>
            </w:pPr>
            <w:r>
              <w:rPr>
                <w:rFonts w:ascii="Noto Sans" w:hAnsi="Noto Sans" w:eastAsia="Arial Unicode MS" w:cs="Noto Sans"/>
                <w:sz w:val="17"/>
              </w:rPr>
              <w:t>Sugestões diárias, reclamações de serviço e feedback de experiência</w:t>
            </w:r>
          </w:p>
        </w:tc>
      </w:tr>
      <w:tr>
        <w:trPr>
          <w:cantSplit/>
        </w:trPr>
        <w:tc>
          <w:tcPr>
            <w:tcW w:type="dxa" w:w="3249"/>
            <w:vAlign w:val="center"/>
          </w:tcPr>
          <w:p>
            <w:pPr>
              <w:spacing w:after="40"/>
            </w:pPr>
            <w:r>
              <w:rPr>
                <w:rFonts w:ascii="Noto Sans" w:hAnsi="Noto Sans" w:eastAsia="Arial Unicode MS" w:cs="Noto Sans"/>
                <w:sz w:val="17"/>
              </w:rPr>
              <w:t>E-mail de cobrança</w:t>
            </w:r>
          </w:p>
        </w:tc>
        <w:tc>
          <w:tcPr>
            <w:tcW w:type="dxa" w:w="3249"/>
            <w:vAlign w:val="center"/>
          </w:tcPr>
          <w:p>
            <w:pPr>
              <w:spacing w:after="40"/>
            </w:pPr>
            <w:hyperlink r:id="rId18">
              <w:r>
                <w:rPr>
                  <w:rFonts w:ascii="Noto Sans" w:hAnsi="Noto Sans" w:eastAsia="Arial Unicode MS"/>
                  <w:sz w:val="17"/>
                </w:rPr>
                <w:t xml:space="preserve">billing@dawnbloom.net</w:t>
              </w:r>
            </w:hyperlink>
          </w:p>
        </w:tc>
        <w:tc>
          <w:tcPr>
            <w:tcW w:type="dxa" w:w="3249"/>
            <w:vAlign w:val="center"/>
          </w:tcPr>
          <w:p>
            <w:pPr>
              <w:spacing w:after="40"/>
            </w:pPr>
            <w:r>
              <w:rPr>
                <w:rFonts w:ascii="Noto Sans" w:hAnsi="Noto Sans" w:eastAsia="Arial Unicode MS" w:cs="Noto Sans"/>
                <w:sz w:val="17"/>
              </w:rPr>
              <w:t>Pedidos, pagamentos, faturamento, reembolsos e assuntos relacionados a transações</w:t>
            </w:r>
          </w:p>
        </w:tc>
      </w:tr>
      <w:tr>
        <w:trPr>
          <w:cantSplit/>
        </w:trPr>
        <w:tc>
          <w:tcPr>
            <w:tcW w:type="dxa" w:w="3249"/>
            <w:vAlign w:val="center"/>
          </w:tcPr>
          <w:p>
            <w:pPr>
              <w:spacing w:after="40"/>
            </w:pPr>
            <w:r>
              <w:rPr>
                <w:rFonts w:ascii="Noto Sans" w:hAnsi="Noto Sans" w:eastAsia="Arial Unicode MS" w:cs="Noto Sans"/>
                <w:sz w:val="17"/>
              </w:rPr>
              <w:t>E-mail de mídia/cooperação</w:t>
            </w:r>
          </w:p>
        </w:tc>
        <w:tc>
          <w:tcPr>
            <w:tcW w:type="dxa" w:w="3249"/>
            <w:vAlign w:val="center"/>
          </w:tcPr>
          <w:p>
            <w:pPr>
              <w:spacing w:after="40"/>
            </w:pPr>
            <w:hyperlink r:id="rId19">
              <w:r>
                <w:rPr>
                  <w:rFonts w:ascii="Noto Sans" w:hAnsi="Noto Sans" w:eastAsia="Arial Unicode MS"/>
                  <w:sz w:val="17"/>
                </w:rPr>
                <w:t xml:space="preserve">contact@dawnbloom.net</w:t>
              </w:r>
            </w:hyperlink>
          </w:p>
        </w:tc>
        <w:tc>
          <w:tcPr>
            <w:tcW w:type="dxa" w:w="3249"/>
            <w:vAlign w:val="center"/>
          </w:tcPr>
          <w:p>
            <w:pPr>
              <w:spacing w:after="40"/>
            </w:pPr>
            <w:r>
              <w:rPr>
                <w:rFonts w:ascii="Noto Sans" w:hAnsi="Noto Sans" w:eastAsia="Arial Unicode MS" w:cs="Noto Sans"/>
                <w:sz w:val="17"/>
              </w:rPr>
              <w:t>Consultas à imprensa, cooperação comercial e assuntos não relacionados ao atendimento ao cliente</w:t>
            </w:r>
          </w:p>
        </w:tc>
      </w:tr>
      <w:tr>
        <w:trPr>
          <w:cantSplit/>
        </w:trPr>
        <w:tc>
          <w:tcPr>
            <w:tcW w:type="dxa" w:w="3249"/>
            <w:vAlign w:val="center"/>
          </w:tcPr>
          <w:p>
            <w:pPr>
              <w:spacing w:after="40"/>
            </w:pPr>
            <w:r>
              <w:rPr>
                <w:rFonts w:ascii="Noto Sans" w:hAnsi="Noto Sans" w:eastAsia="Arial Unicode MS" w:cs="Noto Sans"/>
                <w:sz w:val="17"/>
              </w:rPr>
              <w:t>E-mail jurídico/direitos autorais</w:t>
            </w:r>
          </w:p>
        </w:tc>
        <w:tc>
          <w:tcPr>
            <w:tcW w:type="dxa" w:w="3249"/>
            <w:vAlign w:val="center"/>
          </w:tcPr>
          <w:p>
            <w:pPr>
              <w:spacing w:after="40"/>
            </w:pPr>
            <w:hyperlink r:id="rId20">
              <w:r>
                <w:rPr>
                  <w:rFonts w:ascii="Noto Sans" w:hAnsi="Noto Sans" w:eastAsia="Arial Unicode MS"/>
                  <w:sz w:val="17"/>
                </w:rPr>
                <w:t xml:space="preserve">legal@dawnbloom.net</w:t>
              </w:r>
            </w:hyperlink>
          </w:p>
        </w:tc>
        <w:tc>
          <w:tcPr>
            <w:tcW w:type="dxa" w:w="3249"/>
            <w:vAlign w:val="center"/>
          </w:tcPr>
          <w:p>
            <w:pPr>
              <w:spacing w:after="40"/>
            </w:pPr>
            <w:r>
              <w:rPr>
                <w:rFonts w:ascii="Noto Sans" w:hAnsi="Noto Sans" w:eastAsia="Arial Unicode MS" w:cs="Noto Sans"/>
                <w:sz w:val="17"/>
              </w:rPr>
              <w:t>Notificações legais, direitos autorais, propriedade intelectual e comunicações jurídicas formais</w:t>
            </w:r>
          </w:p>
        </w:tc>
      </w:tr>
      <w:tr>
        <w:trPr>
          <w:cantSplit/>
        </w:trPr>
        <w:tc>
          <w:tcPr>
            <w:tcW w:type="dxa" w:w="3249"/>
            <w:vAlign w:val="center"/>
          </w:tcPr>
          <w:p>
            <w:pPr>
              <w:spacing w:after="40"/>
            </w:pPr>
            <w:r>
              <w:rPr>
                <w:rFonts w:ascii="Noto Sans" w:hAnsi="Noto Sans" w:eastAsia="Arial Unicode MS" w:cs="Noto Sans"/>
                <w:sz w:val="17"/>
              </w:rPr>
              <w:t>E-mail de vulnerabilidades de segurança</w:t>
            </w:r>
          </w:p>
        </w:tc>
        <w:tc>
          <w:tcPr>
            <w:tcW w:type="dxa" w:w="3249"/>
            <w:vAlign w:val="center"/>
          </w:tcPr>
          <w:p>
            <w:pPr>
              <w:spacing w:after="40"/>
            </w:pPr>
            <w:hyperlink r:id="rId21">
              <w:r>
                <w:rPr>
                  <w:rFonts w:ascii="Noto Sans" w:hAnsi="Noto Sans" w:eastAsia="Arial Unicode MS"/>
                  <w:sz w:val="17"/>
                </w:rPr>
                <w:t xml:space="preserve">security@dawnbloom.net</w:t>
              </w:r>
            </w:hyperlink>
          </w:p>
        </w:tc>
        <w:tc>
          <w:tcPr>
            <w:tcW w:type="dxa" w:w="3249"/>
            <w:vAlign w:val="center"/>
          </w:tcPr>
          <w:p>
            <w:pPr>
              <w:spacing w:after="40"/>
            </w:pPr>
            <w:r>
              <w:rPr>
                <w:rFonts w:ascii="Noto Sans" w:hAnsi="Noto Sans" w:eastAsia="Arial Unicode MS" w:cs="Noto Sans"/>
                <w:sz w:val="17"/>
              </w:rPr>
              <w:t>Vulnerabilidades de segurança, problemas técnicos de segurança e divulgação responsável</w:t>
            </w:r>
          </w:p>
        </w:tc>
      </w:tr>
    </w:tbl>
    <w:p>
      <w:pPr>
        <w:spacing w:after="40"/>
      </w:pPr>
    </w:p>
    <w:p>
      <w:pPr>
        <w:keepLines w:val="0"/>
      </w:pPr>
      <w:r>
        <w:rPr>
          <w:rFonts w:ascii="Noto Sans" w:hAnsi="Noto Sans" w:eastAsia="Arial Unicode MS" w:cs="Noto Sans"/>
          <w:b w:val="0"/>
        </w:rPr>
        <w:t>As entradas regionais na tabela orientam apenas a seleção de idioma. Elas não processam independentemente registro, autenticação, alteração de senha, recargas, pagamentos ou pedidos. Após um redirecionamento normal, verifique o nome de host completo do site principal e o caminho do idioma na barra de endereço. Ambas as entradas regionais estão abertas e usam redirecionamentos HTTPS 301 para os caminhos de idioma do site principal listados. As entradas regionais não criam novo operador ou banco de dados e não migram contas ou dados de jogadores. Seus sufixos não estabelecem hospedagem na China Continental, registro ICP ou uma corporação ou filial japonesa. O operador forneceu a identidade de registro da empresa para a entrada da China. O titular registrado e a autorização formal da entrada do Japão ainda precisam ser verificados; este aviso não reivindica propriedade direta da empresa. Os domínios de proteção de marca existentes permanecem listados. A exibição de Punycode por si só não é evidência de falsificação, mas verifique a grafia completa e o endereço final. Outros domínios semelhantes não se tornam oficiais por semelhança. O e-mail oficial ainda usa apenas @dawnbloom.net.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Serviço</w:t>
            </w:r>
          </w:p>
        </w:tc>
        <w:tc>
          <w:tcPr>
            <w:tcW w:type="dxa" w:w="4873"/>
            <w:vAlign w:val="center"/>
            <w:shd w:fill="DCE8F7"/>
          </w:tcPr>
          <w:p>
            <w:pPr>
              <w:keepNext/>
              <w:spacing w:after="40"/>
            </w:pPr>
            <w:r>
              <w:rPr>
                <w:rFonts w:ascii="Noto Sans" w:hAnsi="Noto Sans" w:eastAsia="Arial Unicode MS" w:cs="Noto Sans"/>
                <w:b/>
                <w:sz w:val="17"/>
              </w:rPr>
              <w:t>Caminho oficial do site principal (substitua zh por en ou ja)</w:t>
            </w:r>
          </w:p>
        </w:tc>
      </w:tr>
      <w:tr>
        <w:trPr>
          <w:cantSplit/>
        </w:trPr>
        <w:tc>
          <w:tcPr>
            <w:tcW w:type="dxa" w:w="4873"/>
            <w:vAlign w:val="center"/>
          </w:tcPr>
          <w:p>
            <w:pPr>
              <w:spacing w:after="40"/>
            </w:pPr>
            <w:r>
              <w:rPr>
                <w:rFonts w:ascii="Noto Sans" w:hAnsi="Noto Sans" w:eastAsia="Arial Unicode MS" w:cs="Noto Sans"/>
                <w:sz w:val="17"/>
              </w:rPr>
              <w:t>Entrada na conta</w:t>
            </w:r>
          </w:p>
        </w:tc>
        <w:tc>
          <w:tcPr>
            <w:tcW w:type="dxa" w:w="4873"/>
            <w:vAlign w:val="center"/>
          </w:tcPr>
          <w:p>
            <w:pPr>
              <w:spacing w:after="40"/>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pPr>
            <w:r>
              <w:rPr>
                <w:rFonts w:ascii="Noto Sans" w:hAnsi="Noto Sans" w:eastAsia="Arial Unicode MS" w:cs="Noto Sans"/>
                <w:sz w:val="17"/>
              </w:rPr>
              <w:t>Recuperação e controles de segurança</w:t>
            </w:r>
          </w:p>
        </w:tc>
        <w:tc>
          <w:tcPr>
            <w:tcW w:type="dxa" w:w="4873"/>
            <w:vAlign w:val="center"/>
          </w:tcPr>
          <w:p>
            <w:pPr>
              <w:spacing w:after="40"/>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pPr>
            <w:r>
              <w:rPr>
                <w:rFonts w:ascii="Noto Sans" w:hAnsi="Noto Sans" w:eastAsia="Arial Unicode MS" w:cs="Noto Sans"/>
                <w:sz w:val="17"/>
              </w:rPr>
              <w:t>Suporte e contato</w:t>
            </w:r>
          </w:p>
        </w:tc>
        <w:tc>
          <w:tcPr>
            <w:tcW w:type="dxa" w:w="4873"/>
            <w:vAlign w:val="center"/>
          </w:tcPr>
          <w:p>
            <w:pPr>
              <w:spacing w:after="40"/>
            </w:pPr>
            <w:r>
              <w:rPr>
                <w:rFonts w:ascii="Noto Sans" w:hAnsi="Noto Sans" w:eastAsia="Arial Unicode MS" w:cs="Noto Sans"/>
                <w:sz w:val="17"/>
              </w:rPr>
              <w:t>https://dawnbloom.net/zh/support/</w:t>
              <w:br/>
              <w:t>https://dawnbloom.net/zh/support/contact/</w:t>
            </w:r>
          </w:p>
        </w:tc>
      </w:tr>
      <w:tr>
        <w:trPr>
          <w:cantSplit/>
        </w:trPr>
        <w:tc>
          <w:tcPr>
            <w:tcW w:type="dxa" w:w="4873"/>
            <w:vAlign w:val="center"/>
          </w:tcPr>
          <w:p>
            <w:pPr>
              <w:spacing w:after="40"/>
            </w:pPr>
            <w:r>
              <w:rPr>
                <w:rFonts w:ascii="Noto Sans" w:hAnsi="Noto Sans" w:eastAsia="Arial Unicode MS" w:cs="Noto Sans"/>
                <w:sz w:val="17"/>
              </w:rPr>
              <w:t>Downloads oficiais</w:t>
            </w:r>
          </w:p>
        </w:tc>
        <w:tc>
          <w:tcPr>
            <w:tcW w:type="dxa" w:w="4873"/>
            <w:vAlign w:val="center"/>
          </w:tcPr>
          <w:p>
            <w:pPr>
              <w:spacing w:after="40"/>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pPr>
            <w:r>
              <w:rPr>
                <w:rFonts w:ascii="Noto Sans" w:hAnsi="Noto Sans" w:eastAsia="Arial Unicode MS" w:cs="Noto Sans"/>
                <w:sz w:val="17"/>
              </w:rPr>
              <w:t>Loja, recargas e cobrança (sujeito à disponibilidade)</w:t>
            </w:r>
          </w:p>
        </w:tc>
        <w:tc>
          <w:tcPr>
            <w:tcW w:type="dxa" w:w="4873"/>
            <w:vAlign w:val="center"/>
          </w:tcPr>
          <w:p>
            <w:pPr>
              <w:spacing w:after="40"/>
            </w:pPr>
            <w:r>
              <w:rPr>
                <w:rFonts w:ascii="Noto Sans" w:hAnsi="Noto Sans" w:eastAsia="Arial Unicode MS" w:cs="Noto Sans"/>
                <w:sz w:val="17"/>
              </w:rPr>
              <w:t>https://dawnbloom.net/zh/shop/</w:t>
              <w:br/>
              <w:t>https://dawnbloom.net/zh/recharge/</w:t>
              <w:br/>
              <w:t>https://dawnbloom.net/zh/support/billing/</w:t>
            </w:r>
          </w:p>
        </w:tc>
      </w:tr>
    </w:tbl>
    <w:p>
      <w:pPr>
        <w:spacing w:after="40"/>
      </w:pPr>
    </w:p>
    <w:p>
      <w:pPr>
        <w:pStyle w:val="Heading1"/>
        <w:keepLines w:val="0"/>
      </w:pPr>
      <w:r>
        <w:rPr>
          <w:rFonts w:ascii="Noto Sans" w:hAnsi="Noto Sans" w:eastAsia="Arial Unicode MS" w:cs="Noto Sans"/>
          <w:b w:val="0"/>
        </w:rPr>
        <w:t>Entidade Operadora e Informações de Contato Legal</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Projeto</w:t>
            </w:r>
          </w:p>
        </w:tc>
        <w:tc>
          <w:tcPr>
            <w:tcW w:type="dxa" w:w="4873"/>
            <w:vAlign w:val="center"/>
            <w:shd w:fill="DCE8F7"/>
          </w:tcPr>
          <w:p>
            <w:pPr>
              <w:keepNext/>
              <w:spacing w:after="40"/>
            </w:pPr>
            <w:r>
              <w:rPr>
                <w:rFonts w:ascii="Noto Sans" w:hAnsi="Noto Sans" w:eastAsia="Arial Unicode MS" w:cs="Noto Sans"/>
                <w:b/>
                <w:sz w:val="17"/>
              </w:rPr>
              <w:t>Informações</w:t>
            </w:r>
          </w:p>
        </w:tc>
      </w:tr>
      <w:tr>
        <w:trPr>
          <w:cantSplit/>
        </w:trPr>
        <w:tc>
          <w:tcPr>
            <w:tcW w:type="dxa" w:w="4873"/>
            <w:vAlign w:val="center"/>
          </w:tcPr>
          <w:p>
            <w:pPr>
              <w:spacing w:after="40"/>
            </w:pPr>
            <w:r>
              <w:rPr>
                <w:rFonts w:ascii="Noto Sans" w:hAnsi="Noto Sans" w:eastAsia="Arial Unicode MS" w:cs="Noto Sans"/>
                <w:sz w:val="17"/>
              </w:rPr>
              <w:t>Operador / provedor de serviços do site</w:t>
            </w:r>
          </w:p>
        </w:tc>
        <w:tc>
          <w:tcPr>
            <w:tcW w:type="dxa" w:w="4873"/>
            <w:vAlign w:val="center"/>
          </w:tcPr>
          <w:p>
            <w:pPr>
              <w:spacing w:after="40"/>
            </w:pPr>
            <w:r>
              <w:rPr>
                <w:rFonts w:ascii="Noto Sans" w:hAnsi="Noto Sans" w:eastAsia="Arial Unicode MS" w:cs="Noto Sans"/>
                <w:sz w:val="17"/>
              </w:rPr>
              <w:t>上海追光智创文化传媒有限公司 (Nome público em inglês: SHANGHAI LUMIREALM CREATIVE MEDIA CO., LTD.)</w:t>
            </w:r>
          </w:p>
        </w:tc>
      </w:tr>
      <w:tr>
        <w:trPr>
          <w:cantSplit/>
        </w:trPr>
        <w:tc>
          <w:tcPr>
            <w:tcW w:type="dxa" w:w="4873"/>
            <w:vAlign w:val="center"/>
          </w:tcPr>
          <w:p>
            <w:pPr>
              <w:spacing w:after="40"/>
            </w:pPr>
            <w:r>
              <w:rPr>
                <w:rFonts w:ascii="Noto Sans" w:hAnsi="Noto Sans" w:eastAsia="Arial Unicode MS" w:cs="Noto Sans"/>
                <w:sz w:val="17"/>
              </w:rPr>
              <w:t>Endereço operacional / endereço de contato jurídico</w:t>
            </w:r>
          </w:p>
        </w:tc>
        <w:tc>
          <w:tcPr>
            <w:tcW w:type="dxa" w:w="4873"/>
            <w:vAlign w:val="center"/>
          </w:tcPr>
          <w:p>
            <w:pPr>
              <w:spacing w:after="40"/>
            </w:pPr>
            <w:r>
              <w:rPr>
                <w:rFonts w:ascii="Noto Sans" w:hAnsi="Noto Sans" w:eastAsia="Arial Unicode MS" w:cs="Noto Sans"/>
                <w:sz w:val="17"/>
              </w:rPr>
              <w:t>Sala 218, Edifício 3, Nº 336 Rua Tianjiao, Área Especial de Lin-gang, Zona de Livre Comércio Piloto da China (Xangai), China</w:t>
            </w:r>
          </w:p>
        </w:tc>
      </w:tr>
    </w:tbl>
    <w:p>
      <w:pPr>
        <w:spacing w:after="40"/>
      </w:pPr>
    </w:p>
    <w:p>
      <w:pPr>
        <w:pStyle w:val="Heading1"/>
        <w:keepLines w:val="0"/>
      </w:pPr>
      <w:r>
        <w:rPr>
          <w:rFonts w:ascii="Noto Sans" w:hAnsi="Noto Sans" w:eastAsia="Arial Unicode MS" w:cs="Noto Sans"/>
          <w:b w:val="0"/>
        </w:rPr>
        <w:t>3. Canais Oficiais de Mídias Sociais e Mensagens Instantâneas</w:t>
      </w:r>
    </w:p>
    <w:p>
      <w:pPr>
        <w:keepLines w:val="0"/>
      </w:pPr>
      <w:r>
        <w:rPr>
          <w:rFonts w:ascii="Noto Sans" w:hAnsi="Noto Sans" w:eastAsia="Arial Unicode MS" w:cs="Noto Sans"/>
          <w:b w:val="0"/>
        </w:rPr>
        <w:t xml:space="preserve">Os nomes oficiais, nomes de usuário e links da plataforma podem mudar. Abra os canais listados em Suporte ou Contato no site principal; resultados de pesquisa, avatares ou contagens de seguidores não estabelecem identidade. Verifique contatos incertos através de </w:t>
      </w:r>
      <w:hyperlink r:id="rId25">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pStyle w:val="ListBullet"/>
        <w:keepLines w:val="0"/>
      </w:pPr>
      <w:r>
        <w:rPr>
          <w:rFonts w:ascii="Noto Sans" w:hAnsi="Noto Sans" w:eastAsia="Arial Unicode MS" w:cs="Noto Sans"/>
          <w:b w:val="0"/>
        </w:rPr>
        <w:t>As plataformas compatíveis podem incluir Facebook, Threads, Instagram, YouTube, X, Bluesky, Xiaohongshu, WeChat, Douyin e outras.</w:t>
      </w:r>
    </w:p>
    <w:p>
      <w:pPr>
        <w:pStyle w:val="ListBullet"/>
        <w:keepLines w:val="0"/>
      </w:pPr>
      <w:r>
        <w:rPr>
          <w:rFonts w:ascii="Noto Sans" w:hAnsi="Noto Sans" w:eastAsia="Arial Unicode MS" w:cs="Noto Sans"/>
          <w:b w:val="0"/>
        </w:rPr>
        <w:t>Se uma conta em qualquer plataforma não estiver listada na página de canais oficiais do dawnbloom.net, mesmo que seu nome, foto de perfil ou conteúdo pareça semelhante ao oficial, não assuma que seja uma conta oficial com base apenas na semelhança visual.</w:t>
      </w:r>
    </w:p>
    <w:p>
      <w:pPr>
        <w:pStyle w:val="ListBullet"/>
        <w:keepLines w:val="0"/>
      </w:pPr>
      <w:r>
        <w:rPr>
          <w:rFonts w:ascii="Noto Sans" w:hAnsi="Noto Sans" w:eastAsia="Arial Unicode MS" w:cs="Noto Sans"/>
          <w:b w:val="0"/>
        </w:rPr>
        <w:t>Qualquer adição, suspensão, realocação ou renomeação de canais oficiais estará sujeita ao anúncio oficial mais recente no dawnbloom.net.</w:t>
      </w:r>
    </w:p>
    <w:p>
      <w:pPr>
        <w:pStyle w:val="Heading1"/>
        <w:keepLines w:val="0"/>
      </w:pPr>
      <w:r>
        <w:rPr>
          <w:rFonts w:ascii="Noto Sans" w:hAnsi="Noto Sans" w:eastAsia="Arial Unicode MS" w:cs="Noto Sans"/>
          <w:b w:val="0"/>
        </w:rPr>
        <w:t>4. Coisas que o pessoal oficial nunca pedirá para você fazer</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Esteja vigilante: o pessoal do atendimento ao cliente oficial nunca solicitará sua senha de conta, código de verificação único ou senha de pagamento por mensagens privadas. Eles também nunca pedirão que você transfira dinheiro para uma conta pessoal sob pretextos como "desbloquear", "reembolso", "resgatar prêmios", "restaurar equipamento" ou "verificar ativos".</w:t>
            </w:r>
          </w:p>
        </w:tc>
      </w:tr>
    </w:tbl>
    <w:p>
      <w:pPr>
        <w:spacing w:after="40"/>
      </w:pPr>
    </w:p>
    <w:p>
      <w:pPr>
        <w:keepLines w:val="0"/>
      </w:pPr>
      <w:r>
        <w:rPr>
          <w:rFonts w:ascii="Noto Sans" w:hAnsi="Noto Sans" w:eastAsia="Arial Unicode MS" w:cs="Noto Sans"/>
          <w:b w:val="0"/>
        </w:rPr>
        <w:t>Os códigos de Token rotativos, os detalhes de recuperação de conta e as conversas com o DAWNBLOOM Guide nunca são motivos para solicitar senhas ou pagamentos por bate-papo privado. O DAWNBLOOM Guide não ignora verificações formais para contas, ativos, apelações ou dados internos.</w:t>
      </w:r>
    </w:p>
    <w:p>
      <w:pPr>
        <w:pStyle w:val="ListBullet"/>
        <w:keepLines w:val="0"/>
      </w:pPr>
      <w:r>
        <w:rPr>
          <w:rFonts w:ascii="Noto Sans" w:hAnsi="Noto Sans" w:eastAsia="Arial Unicode MS" w:cs="Noto Sans"/>
          <w:b w:val="0"/>
        </w:rPr>
        <w:t>Nunca solicitarão sua senha de conta de jogo, senha do Apple ID, senha do Steam, senha de pagamento do WeChat/Alipay ou senha do cartão bancário.</w:t>
      </w:r>
    </w:p>
    <w:p>
      <w:pPr>
        <w:pStyle w:val="ListBullet"/>
        <w:keepLines w:val="0"/>
      </w:pPr>
      <w:r>
        <w:rPr>
          <w:rFonts w:ascii="Noto Sans" w:hAnsi="Noto Sans" w:eastAsia="Arial Unicode MS" w:cs="Noto Sans"/>
          <w:b w:val="0"/>
        </w:rPr>
        <w:t>Nunca solicitarão seu código de verificação SMS, código de verificação por e-mail, código de autenticação de dois fatores, chave dinâmica Lightseeker Token (se ativada) ou qualquer outro código de segurança de uso único.</w:t>
      </w:r>
    </w:p>
    <w:p>
      <w:pPr>
        <w:pStyle w:val="ListBullet"/>
        <w:keepLines w:val="0"/>
      </w:pPr>
      <w:r>
        <w:rPr>
          <w:rFonts w:ascii="Noto Sans" w:hAnsi="Noto Sans" w:eastAsia="Arial Unicode MS" w:cs="Noto Sans"/>
          <w:b w:val="0"/>
        </w:rPr>
        <w:t>Nunca solicitarão que você ative o compartilhamento de tela, controle remoto ou instale qualquer software de assistência remota desconhecido, APK, arquivo de descrição, extensão de navegador ou chamado "plugin de segurança".</w:t>
      </w:r>
    </w:p>
    <w:p>
      <w:pPr>
        <w:pStyle w:val="ListBullet"/>
        <w:keepLines w:val="0"/>
      </w:pPr>
      <w:r>
        <w:rPr>
          <w:rFonts w:ascii="Noto Sans" w:hAnsi="Noto Sans" w:eastAsia="Arial Unicode MS" w:cs="Noto Sans"/>
          <w:b w:val="0"/>
        </w:rPr>
        <w:t>Não solicitaremos que você transfira Magic Coins, Phantom Beasts, equipamentos ou itens do jogo para chamados "contas GM", "contas seguras" ou "contas de verificação" para validação.</w:t>
      </w:r>
    </w:p>
    <w:p>
      <w:pPr>
        <w:pStyle w:val="ListBullet"/>
        <w:keepLines w:val="0"/>
      </w:pPr>
      <w:r>
        <w:rPr>
          <w:rFonts w:ascii="Noto Sans" w:hAnsi="Noto Sans" w:eastAsia="Arial Unicode MS" w:cs="Noto Sans"/>
          <w:b w:val="0"/>
        </w:rPr>
        <w:t>Nunca solicitarão que você pague via WeChat pessoal, Alipay pessoal, cartão bancário privado, cartão-presente, endereço de criptomoeda ou qualquer outro canal de pagamento não oficial.</w:t>
      </w:r>
    </w:p>
    <w:p>
      <w:pPr>
        <w:pStyle w:val="ListBullet"/>
        <w:keepLines w:val="0"/>
      </w:pPr>
      <w:r>
        <w:rPr>
          <w:rFonts w:ascii="Noto Sans" w:hAnsi="Noto Sans" w:eastAsia="Arial Unicode MS" w:cs="Noto Sans"/>
          <w:b w:val="0"/>
        </w:rPr>
        <w:t>Nunca solicitarão pagamentos adicionais sob pretextos como "transferência antes do reembolso", "pagar um depósito primeiro", "taxa de desbloqueio de conta", "taxa de liberação de penalidade", "taxa de verificação" ou "taxa de manuseio de coleta de prêmios".</w:t>
      </w:r>
    </w:p>
    <w:p>
      <w:pPr>
        <w:pStyle w:val="ListBullet"/>
        <w:keepLines w:val="0"/>
      </w:pPr>
      <w:r>
        <w:rPr>
          <w:rFonts w:ascii="Noto Sans" w:hAnsi="Noto Sans" w:eastAsia="Arial Unicode MS" w:cs="Noto Sans"/>
          <w:b w:val="0"/>
        </w:rPr>
        <w:t>Nunca solicitarão que você faça login novamente na sua conta de jogo ou insira os detalhes completos de pagamento por meio de links não oficiais.</w:t>
      </w:r>
    </w:p>
    <w:p>
      <w:pPr>
        <w:pStyle w:val="ListBullet"/>
        <w:keepLines w:val="0"/>
      </w:pPr>
      <w:r>
        <w:rPr>
          <w:rFonts w:ascii="Noto Sans" w:hAnsi="Noto Sans" w:eastAsia="Arial Unicode MS" w:cs="Noto Sans"/>
          <w:b w:val="0"/>
        </w:rPr>
        <w:t>Nunca prometerão modificações privadas pagas às penalidades, aumento de probabilidades de vitória, distribuição de itens raros ou contorno das regras oficiais.</w:t>
      </w:r>
    </w:p>
    <w:p>
      <w:pPr>
        <w:pStyle w:val="Heading1"/>
        <w:keepLines w:val="0"/>
      </w:pPr>
      <w:r>
        <w:rPr>
          <w:rFonts w:ascii="Noto Sans" w:hAnsi="Noto Sans" w:eastAsia="Arial Unicode MS" w:cs="Noto Sans"/>
          <w:b w:val="0"/>
        </w:rPr>
        <w:t>Cinco. Métodos comuns de suplantação de identidade</w:t>
      </w:r>
    </w:p>
    <w:p>
      <w:pPr>
        <w:pStyle w:val="ListBullet"/>
        <w:keepLines w:val="0"/>
      </w:pPr>
      <w:r>
        <w:rPr>
          <w:rFonts w:ascii="Noto Sans" w:hAnsi="Noto Sans" w:eastAsia="Arial Unicode MS" w:cs="Noto Sans"/>
          <w:b w:val="0"/>
        </w:rPr>
        <w:t>Usa domínios, grafias, subdomínios ou links curtos extremamente semelhantes ao dawnbloom.net para atrair jogadores a fazer login.</w:t>
      </w:r>
    </w:p>
    <w:p>
      <w:pPr>
        <w:keepLines w:val="0"/>
      </w:pPr>
      <w:r>
        <w:rPr>
          <w:rFonts w:ascii="Noto Sans" w:hAnsi="Noto Sans" w:eastAsia="Arial Unicode MS" w:cs="Noto Sans"/>
          <w:b w:val="0"/>
        </w:rPr>
        <w:t>Sites falsos, listagens de lojas, arquivos APK ou EXE, atualizações do navegador, clientes de Notícias ou Correio, ferramentas de Download ou Arquivo, páginas de Token e serviços do Guia da Dawnbloom podem solicitar credenciais ou instalar malware. Confie em dawnbloom.net e nas lojas oficiais que ele vincula explicitamente; Google Drive e Baidu Netdisk não são espelhos oficiais atuais.</w:t>
      </w:r>
    </w:p>
    <w:p>
      <w:pPr>
        <w:pStyle w:val="ListBullet"/>
        <w:keepLines w:val="0"/>
      </w:pPr>
      <w:r>
        <w:rPr>
          <w:rFonts w:ascii="Noto Sans" w:hAnsi="Noto Sans" w:eastAsia="Arial Unicode MS" w:cs="Noto Sans"/>
          <w:b w:val="0"/>
        </w:rPr>
        <w:t>Copiam avatares oficiais, logotipos, roteiros de atendimento ao cliente e imagens de anúncios para criar contas de mídia social, grupos de chat ou páginas de pagamento de alta fidelidade.</w:t>
      </w:r>
    </w:p>
    <w:p>
      <w:pPr>
        <w:pStyle w:val="ListBullet"/>
        <w:keepLines w:val="0"/>
      </w:pPr>
      <w:r>
        <w:rPr>
          <w:rFonts w:ascii="Noto Sans" w:hAnsi="Noto Sans" w:eastAsia="Arial Unicode MS" w:cs="Noto Sans"/>
          <w:b w:val="0"/>
        </w:rPr>
        <w:t>Se passam por GMs, atendimento ao cliente, administradores, streamers parceiros ou "funcionários internos", alegando riscos de conta e criando urgência.</w:t>
      </w:r>
    </w:p>
    <w:p>
      <w:pPr>
        <w:pStyle w:val="ListBullet"/>
        <w:keepLines w:val="0"/>
      </w:pPr>
      <w:r>
        <w:rPr>
          <w:rFonts w:ascii="Noto Sans" w:hAnsi="Noto Sans" w:eastAsia="Arial Unicode MS" w:cs="Noto Sans"/>
          <w:b w:val="0"/>
        </w:rPr>
        <w:t>Usam ofertas isca como "moedas mágicas grátis", "bestas fantasmas raras", "prêmios ganhos", "elegibilidade para teste", "compensação de reembolso" ou "kits de presente internos" para enviar códigos QR ou links.</w:t>
      </w:r>
    </w:p>
    <w:p>
      <w:pPr>
        <w:pStyle w:val="ListBullet"/>
        <w:keepLines w:val="0"/>
      </w:pPr>
      <w:r>
        <w:rPr>
          <w:rFonts w:ascii="Noto Sans" w:hAnsi="Noto Sans" w:eastAsia="Arial Unicode MS" w:cs="Noto Sans"/>
          <w:b w:val="0"/>
        </w:rPr>
        <w:t>Se passam por atendimento ao cliente e adicionam você proativamente como amigo, solicitando códigos de verificação, capturas de tela de ativos, compartilhamento de tela ou transferências.</w:t>
      </w:r>
    </w:p>
    <w:p>
      <w:pPr>
        <w:pStyle w:val="ListBullet"/>
        <w:keepLines w:val="0"/>
      </w:pPr>
      <w:r>
        <w:rPr>
          <w:rFonts w:ascii="Noto Sans" w:hAnsi="Noto Sans" w:eastAsia="Arial Unicode MS" w:cs="Noto Sans"/>
          <w:b w:val="0"/>
        </w:rPr>
        <w:t>Usam contas de amigos roubadas para enviar links ou arquivos, fazendo com que a fonte pareça legítima.</w:t>
      </w:r>
    </w:p>
    <w:p>
      <w:pPr>
        <w:pStyle w:val="Heading1"/>
        <w:keepLines w:val="0"/>
      </w:pPr>
      <w:r>
        <w:rPr>
          <w:rFonts w:ascii="Noto Sans" w:hAnsi="Noto Sans" w:eastAsia="Arial Unicode MS" w:cs="Noto Sans"/>
          <w:b w:val="0"/>
        </w:rPr>
        <w:t>Seção Seis: Segurança de pagamentos e loja</w:t>
      </w:r>
    </w:p>
    <w:p>
      <w:pPr>
        <w:keepLines w:val="0"/>
      </w:pPr>
      <w:r>
        <w:rPr>
          <w:rFonts w:ascii="Noto Sans" w:hAnsi="Noto Sans" w:eastAsia="Arial Unicode MS" w:cs="Noto Sans"/>
          <w:b w:val="0"/>
        </w:rPr>
        <w:t>Todos os bens digitais oficiais, baús e outros conteúdos da loja serão regidos pela exibição no site oficial e nos pontos de entrada oficiais no jogo. Os jogadores devem concluir os pagamentos através do site oficial ou por meio das lojas de pagamento/aplicativo terceirizadas designadas listadas pelo oficial.</w:t>
      </w:r>
    </w:p>
    <w:p>
      <w:pPr>
        <w:keepLines w:val="0"/>
      </w:pPr>
      <w:r>
        <w:rPr>
          <w:rFonts w:ascii="Noto Sans" w:hAnsi="Noto Sans" w:eastAsia="Arial Unicode MS" w:cs="Noto Sans"/>
          <w:b w:val="0"/>
        </w:rPr>
        <w:t xml:space="preserve">Se a página do pedido, o destinatário do pagamento, o valor, o domínio ou a URL de redirecionamento diferirem significativamente do que é divulgado publicamente no site oficial, pause todas as transações e verifique através de </w:t>
      </w:r>
      <w:hyperlink r:id="rId18">
        <w:r>
          <w:rPr>
            <w:rFonts w:ascii="Noto Sans" w:hAnsi="Noto Sans" w:eastAsia="Arial Unicode MS"/>
            <w:b w:val="0"/>
          </w:rPr>
          <w:t xml:space="preserve">billing@dawnbloom.net</w:t>
        </w:r>
      </w:hyperlink>
      <w:r>
        <w:rPr>
          <w:rFonts w:ascii="Noto Sans" w:hAnsi="Noto Sans" w:eastAsia="Arial Unicode MS" w:cs="Noto Sans"/>
          <w:b w:val="0"/>
        </w:rPr>
        <w:t xml:space="preserve"> ou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 Quaisquer pagamentos privados fora de linha ou serviços privados de "recarga em jogo" não são considerados transações oficiais.</w:t>
      </w:r>
    </w:p>
    <w:p>
      <w:pPr>
        <w:pStyle w:val="Heading1"/>
        <w:keepLines w:val="0"/>
      </w:pPr>
      <w:r>
        <w:rPr>
          <w:rFonts w:ascii="Noto Sans" w:hAnsi="Noto Sans" w:eastAsia="Arial Unicode MS" w:cs="Noto Sans"/>
          <w:b w:val="0"/>
        </w:rPr>
        <w:t>Seção Sete: O que fazer ao receber mensagens suspeitas</w:t>
      </w:r>
    </w:p>
    <w:p>
      <w:pPr>
        <w:pStyle w:val="ListBullet"/>
        <w:keepLines w:val="0"/>
      </w:pPr>
      <w:r>
        <w:rPr>
          <w:rFonts w:ascii="Noto Sans" w:hAnsi="Noto Sans" w:eastAsia="Arial Unicode MS" w:cs="Noto Sans"/>
          <w:b w:val="0"/>
        </w:rPr>
        <w:t>Não prossiga: Não clique em links, não digitalize códigos QR, não baixe arquivos, não insira informações da conta ou não faça pagamentos.</w:t>
      </w:r>
    </w:p>
    <w:p>
      <w:pPr>
        <w:pStyle w:val="ListBullet"/>
        <w:keepLines w:val="0"/>
      </w:pPr>
      <w:r>
        <w:rPr>
          <w:rFonts w:ascii="Noto Sans" w:hAnsi="Noto Sans" w:eastAsia="Arial Unicode MS" w:cs="Noto Sans"/>
          <w:b w:val="0"/>
        </w:rPr>
        <w:t>Preserve as evidências: Salve a página inicial da sua conta, registros de chat, links, códigos QR, páginas de transferência, números de pedido e carimbos de tempo.</w:t>
      </w:r>
    </w:p>
    <w:p>
      <w:pPr>
        <w:pStyle w:val="ListBullet"/>
        <w:keepLines w:val="0"/>
      </w:pPr>
      <w:r>
        <w:rPr>
          <w:rFonts w:ascii="Noto Sans" w:hAnsi="Noto Sans" w:eastAsia="Arial Unicode MS" w:cs="Noto Sans"/>
          <w:b w:val="0"/>
        </w:rPr>
        <w:t>Digite o endereço do site principal você mesmo e use sua navegação para acessar Player Center, Support ou Downloads. Não confie na etiqueta de link de um estranho. Faça login através do Player Center do site principal; abra recuperação e controles sensíveis através do Support Account Management. Use as entradas de loja, recarga e faturamento do site principal para pagamentos e pedidos, verificando a disponibilidade real e qualquer plataforma de pagamento nessas páginas.</w:t>
      </w:r>
    </w:p>
    <w:p>
      <w:pPr>
        <w:pStyle w:val="ListBullet"/>
        <w:keepLines w:val="0"/>
      </w:pPr>
      <w:r>
        <w:rPr>
          <w:rFonts w:ascii="Noto Sans" w:hAnsi="Noto Sans" w:eastAsia="Arial Unicode MS" w:cs="Noto Sans"/>
          <w:b w:val="0"/>
        </w:rPr>
        <w:t>Se as informações da conta já foram inseridas: altere imediatamente sua senha, saia de todas as outras sessões ativas e verifique a segurança dos e-mails associados, Apple, Steam, WeChat e outras contas de terceiros.</w:t>
      </w:r>
    </w:p>
    <w:p>
      <w:pPr>
        <w:pStyle w:val="ListBullet"/>
        <w:keepLines w:val="0"/>
      </w:pPr>
      <w:r>
        <w:rPr>
          <w:rFonts w:ascii="Noto Sans" w:hAnsi="Noto Sans" w:eastAsia="Arial Unicode MS" w:cs="Noto Sans"/>
          <w:b w:val="0"/>
        </w:rPr>
        <w:t>Se o pagamento já foi realizado: entre em contato imediatamente com a plataforma de pagamento, o banco emissor ou a instituição financeira relevante para solicitar um estorno, recurso ou congelamento; em casos envolvendo valores elevados ou atividades criminosas suspeitas, reporte o incidente às autoridades policiais locais imediatamente.</w:t>
      </w:r>
    </w:p>
    <w:p>
      <w:pPr>
        <w:pStyle w:val="ListBullet"/>
        <w:keepLines w:val="0"/>
      </w:pPr>
      <w:r>
        <w:rPr>
          <w:rFonts w:ascii="Noto Sans" w:hAnsi="Noto Sans" w:eastAsia="Arial Unicode MS" w:cs="Noto Sans"/>
          <w:b w:val="0"/>
        </w:rPr>
        <w:t>Se uma conta falsa for descoberta: denuncie-a na plataforma correspondente e envie o link da página ao atendimento ao cliente oficial para verificação adicional e divulgação pública.</w:t>
      </w:r>
    </w:p>
    <w:p>
      <w:pPr>
        <w:pStyle w:val="Heading1"/>
        <w:keepLines w:val="0"/>
      </w:pPr>
      <w:r>
        <w:rPr>
          <w:rFonts w:ascii="Noto Sans" w:hAnsi="Noto Sans" w:eastAsia="Arial Unicode MS" w:cs="Noto Sans"/>
          <w:b w:val="0"/>
        </w:rPr>
        <w:t>Oito. Informações que o oficial pode solicitar para verificação</w:t>
      </w:r>
    </w:p>
    <w:p>
      <w:pPr>
        <w:keepLines w:val="0"/>
      </w:pPr>
      <w:r>
        <w:rPr>
          <w:rFonts w:ascii="Noto Sans" w:hAnsi="Noto Sans" w:eastAsia="Arial Unicode MS" w:cs="Noto Sans"/>
          <w:b w:val="0"/>
        </w:rPr>
        <w:t>Para resolver questões relacionadas a contas, pedidos, roubo de conta, transações anormais ou disputas de atendimento ao cliente, a equipe oficial pode solicitar que você forneça informações de verificação necessárias, como: nome da conta, nome do personagem/ID do personagem, número do pedido, horário do incidente, detalhes do dispositivo ou login, capturas de tela do jogo, capturas de tela de bate-papo relevantes e suas informações de contato enviadas ativamente.</w:t>
      </w:r>
    </w:p>
    <w:p>
      <w:pPr>
        <w:keepLines w:val="0"/>
      </w:pPr>
      <w:r>
        <w:rPr>
          <w:rFonts w:ascii="Noto Sans" w:hAnsi="Noto Sans" w:eastAsia="Arial Unicode MS" w:cs="Noto Sans"/>
          <w:b w:val="0"/>
        </w:rPr>
        <w:t>Adotamos o princípio dos dados mínimos necessários e não solicitaremos nenhuma credencial de alto risco não relacionada ao problema. Em particular, nunca solicitaremos sua senha de conta, senha de pagamento ou código de verificação único.</w:t>
      </w:r>
    </w:p>
    <w:p>
      <w:pPr>
        <w:pStyle w:val="Heading1"/>
        <w:keepLines w:val="0"/>
      </w:pPr>
      <w:r>
        <w:rPr>
          <w:rFonts w:ascii="Noto Sans" w:hAnsi="Noto Sans" w:eastAsia="Arial Unicode MS" w:cs="Noto Sans"/>
          <w:b w:val="0"/>
        </w:rPr>
        <w:t>Nove. Prioridade das comunicações oficiais</w:t>
      </w:r>
    </w:p>
    <w:p>
      <w:pPr>
        <w:keepLines w:val="0"/>
      </w:pPr>
      <w:r>
        <w:rPr>
          <w:rFonts w:ascii="Noto Sans" w:hAnsi="Noto Sans" w:eastAsia="Arial Unicode MS" w:cs="Noto Sans"/>
          <w:b w:val="0"/>
        </w:rPr>
        <w:t>Quando surgirem discrepâncias entre as informações divulgadas por meio de diferentes plataformas sociais, relatos de jogadores, capturas de tela de chats de grupo ou sites de terceiros, prevalecerão os anúncios oficiais em dawnbloom.net, os documentos legais correspondentes e os avisos oficiais no jogo. Declarações individuais de jogadores, streamers, administradores de grupos, voluntários, parceiros ou membros da comunidade não constituem representação oficial da posição da DAWNBLOOM(DAWNBLOOM).</w:t>
      </w:r>
    </w:p>
    <w:p>
      <w:pPr>
        <w:pStyle w:val="Heading1"/>
        <w:keepLines w:val="0"/>
      </w:pPr>
      <w:r>
        <w:rPr>
          <w:rFonts w:ascii="Noto Sans" w:hAnsi="Noto Sans" w:eastAsia="Arial Unicode MS" w:cs="Noto Sans"/>
          <w:b w:val="0"/>
        </w:rPr>
        <w:t>Dez. Cartão de identificação rápida antifraude</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Se a pessoa disser o seguinte:</w:t>
            </w:r>
          </w:p>
        </w:tc>
        <w:tc>
          <w:tcPr>
            <w:tcW w:type="dxa" w:w="4873"/>
            <w:vAlign w:val="center"/>
            <w:shd w:fill="DCE8F7"/>
          </w:tcPr>
          <w:p>
            <w:pPr>
              <w:keepNext/>
              <w:spacing w:after="40"/>
            </w:pPr>
            <w:r>
              <w:rPr>
                <w:rFonts w:ascii="Noto Sans" w:hAnsi="Noto Sans" w:eastAsia="Arial Unicode MS" w:cs="Noto Sans"/>
                <w:b/>
                <w:sz w:val="17"/>
              </w:rPr>
              <w:t>Sua primeira reação deve ser:</w:t>
            </w:r>
          </w:p>
        </w:tc>
      </w:tr>
      <w:tr>
        <w:trPr>
          <w:cantSplit/>
        </w:trPr>
        <w:tc>
          <w:tcPr>
            <w:tcW w:type="dxa" w:w="4873"/>
            <w:vAlign w:val="center"/>
          </w:tcPr>
          <w:p>
            <w:pPr>
              <w:spacing w:after="40"/>
            </w:pPr>
            <w:r>
              <w:rPr>
                <w:rFonts w:ascii="Noto Sans" w:hAnsi="Noto Sans" w:eastAsia="Arial Unicode MS" w:cs="Noto Sans"/>
                <w:sz w:val="17"/>
              </w:rPr>
              <w:t>"Anomalia na conta — envie-me o código de verificação."</w:t>
            </w:r>
          </w:p>
        </w:tc>
        <w:tc>
          <w:tcPr>
            <w:tcW w:type="dxa" w:w="4873"/>
            <w:vAlign w:val="center"/>
          </w:tcPr>
          <w:p>
            <w:pPr>
              <w:spacing w:after="40"/>
            </w:pPr>
            <w:r>
              <w:rPr>
                <w:rFonts w:ascii="Noto Sans" w:hAnsi="Noto Sans" w:eastAsia="Arial Unicode MS" w:cs="Noto Sans"/>
                <w:sz w:val="17"/>
              </w:rPr>
              <w:t>Não envie. Os canais oficiais nunca solicitarão um código de verificação único.</w:t>
            </w:r>
          </w:p>
        </w:tc>
      </w:tr>
      <w:tr>
        <w:trPr>
          <w:cantSplit/>
        </w:trPr>
        <w:tc>
          <w:tcPr>
            <w:tcW w:type="dxa" w:w="4873"/>
            <w:vAlign w:val="center"/>
          </w:tcPr>
          <w:p>
            <w:pPr>
              <w:spacing w:after="40"/>
            </w:pPr>
            <w:r>
              <w:rPr>
                <w:rFonts w:ascii="Noto Sans" w:hAnsi="Noto Sans" w:eastAsia="Arial Unicode MS" w:cs="Noto Sans"/>
                <w:sz w:val="17"/>
              </w:rPr>
              <w:t>"Transfira os fundos primeiro; após o reembolso, devolveremos o dinheiro juntos."</w:t>
            </w:r>
          </w:p>
        </w:tc>
        <w:tc>
          <w:tcPr>
            <w:tcW w:type="dxa" w:w="4873"/>
            <w:vAlign w:val="center"/>
          </w:tcPr>
          <w:p>
            <w:pPr>
              <w:spacing w:after="40"/>
            </w:pPr>
            <w:r>
              <w:rPr>
                <w:rFonts w:ascii="Noto Sans" w:hAnsi="Noto Sans" w:eastAsia="Arial Unicode MS" w:cs="Noto Sans"/>
                <w:sz w:val="17"/>
              </w:rPr>
              <w:t>Não pague. Os reembolsos oficiais nunca exigirão que você transfira dinheiro primeiro para uma conta pessoal.</w:t>
            </w:r>
          </w:p>
        </w:tc>
      </w:tr>
      <w:tr>
        <w:trPr>
          <w:cantSplit/>
        </w:trPr>
        <w:tc>
          <w:tcPr>
            <w:tcW w:type="dxa" w:w="4873"/>
            <w:vAlign w:val="center"/>
          </w:tcPr>
          <w:p>
            <w:pPr>
              <w:spacing w:after="40"/>
            </w:pPr>
            <w:r>
              <w:rPr>
                <w:rFonts w:ascii="Noto Sans" w:hAnsi="Noto Sans" w:eastAsia="Arial Unicode MS" w:cs="Noto Sans"/>
                <w:sz w:val="17"/>
              </w:rPr>
              <w:t>"Transfira suas bestas fantasma ou equipamentos para uma conta segura para inspeção."</w:t>
            </w:r>
          </w:p>
        </w:tc>
        <w:tc>
          <w:tcPr>
            <w:tcW w:type="dxa" w:w="4873"/>
            <w:vAlign w:val="center"/>
          </w:tcPr>
          <w:p>
            <w:pPr>
              <w:spacing w:after="40"/>
            </w:pPr>
            <w:r>
              <w:rPr>
                <w:rFonts w:ascii="Noto Sans" w:hAnsi="Noto Sans" w:eastAsia="Arial Unicode MS" w:cs="Noto Sans"/>
                <w:sz w:val="17"/>
              </w:rPr>
              <w:t>Não transfira. Os canais oficiais nunca solicitarão verificação de ativos por meio de contas de personagens de jogadores.</w:t>
            </w:r>
          </w:p>
        </w:tc>
      </w:tr>
      <w:tr>
        <w:trPr>
          <w:cantSplit/>
        </w:trPr>
        <w:tc>
          <w:tcPr>
            <w:tcW w:type="dxa" w:w="4873"/>
            <w:vAlign w:val="center"/>
          </w:tcPr>
          <w:p>
            <w:pPr>
              <w:spacing w:after="40"/>
            </w:pPr>
            <w:r>
              <w:rPr>
                <w:rFonts w:ascii="Noto Sans" w:hAnsi="Noto Sans" w:eastAsia="Arial Unicode MS" w:cs="Noto Sans"/>
                <w:sz w:val="17"/>
              </w:rPr>
              <w:t>"Clique neste link para fazer login e reivindicar sua recompensa."</w:t>
            </w:r>
          </w:p>
        </w:tc>
        <w:tc>
          <w:tcPr>
            <w:tcW w:type="dxa" w:w="4873"/>
            <w:vAlign w:val="center"/>
          </w:tcPr>
          <w:p>
            <w:pPr>
              <w:spacing w:after="40"/>
            </w:pPr>
            <w:r>
              <w:rPr>
                <w:rFonts w:ascii="Noto Sans" w:hAnsi="Noto Sans" w:eastAsia="Arial Unicode MS" w:cs="Noto Sans"/>
                <w:sz w:val="17"/>
              </w:rPr>
              <w:t>Verifique primeiro se o link pertence a dawnbloom.net ou está explicitamente listado como ponto de entrada oficial no site oficial.</w:t>
            </w:r>
          </w:p>
        </w:tc>
      </w:tr>
      <w:tr>
        <w:trPr>
          <w:cantSplit/>
        </w:trPr>
        <w:tc>
          <w:tcPr>
            <w:tcW w:type="dxa" w:w="4873"/>
            <w:vAlign w:val="center"/>
          </w:tcPr>
          <w:p>
            <w:pPr>
              <w:spacing w:after="40"/>
            </w:pPr>
            <w:r>
              <w:rPr>
                <w:rFonts w:ascii="Noto Sans" w:hAnsi="Noto Sans" w:eastAsia="Arial Unicode MS" w:cs="Noto Sans"/>
                <w:sz w:val="17"/>
              </w:rPr>
              <w:t>"Sou um GM; adicione meu contato privado para tratar."</w:t>
            </w:r>
          </w:p>
        </w:tc>
        <w:tc>
          <w:tcPr>
            <w:tcW w:type="dxa" w:w="4873"/>
            <w:vAlign w:val="center"/>
          </w:tcPr>
          <w:p>
            <w:pPr>
              <w:spacing w:after="40"/>
            </w:pPr>
            <w:r>
              <w:rPr>
                <w:rFonts w:ascii="Noto Sans" w:hAnsi="Noto Sans" w:eastAsia="Arial Unicode MS" w:cs="Noto Sans"/>
                <w:sz w:val="17"/>
              </w:rPr>
              <w:t>Acesse sempre primeiro o portal de atendimento ao cliente do site oficial e verifique a identidade da pessoa que afirma ser um GM.</w:t>
            </w:r>
          </w:p>
        </w:tc>
      </w:tr>
      <w:tr>
        <w:trPr>
          <w:cantSplit/>
        </w:trPr>
        <w:tc>
          <w:tcPr>
            <w:tcW w:type="dxa" w:w="4873"/>
            <w:vAlign w:val="center"/>
          </w:tcPr>
          <w:p>
            <w:pPr>
              <w:spacing w:after="40"/>
            </w:pPr>
            <w:r>
              <w:rPr>
                <w:rFonts w:ascii="Noto Sans" w:hAnsi="Noto Sans" w:eastAsia="Arial Unicode MS" w:cs="Noto Sans"/>
                <w:sz w:val="17"/>
              </w:rPr>
              <w:t>"Te penalizaremos permanentemente se não agirmos imediatamente."</w:t>
            </w:r>
          </w:p>
        </w:tc>
        <w:tc>
          <w:tcPr>
            <w:tcW w:type="dxa" w:w="4873"/>
            <w:vAlign w:val="center"/>
          </w:tcPr>
          <w:p>
            <w:pPr>
              <w:spacing w:after="40"/>
            </w:pPr>
            <w:r>
              <w:rPr>
                <w:rFonts w:ascii="Noto Sans" w:hAnsi="Noto Sans" w:eastAsia="Arial Unicode MS" w:cs="Noto Sans"/>
                <w:sz w:val="17"/>
              </w:rPr>
              <w:t>Não se deixe pressionar. Cesse imediatamente qualquer ação e verifique as informações através do site oficial.</w:t>
            </w:r>
          </w:p>
        </w:tc>
      </w:tr>
    </w:tbl>
    <w:p>
      <w:pPr>
        <w:spacing w:after="40"/>
      </w:pPr>
    </w:p>
    <w:p>
      <w:pPr>
        <w:pStyle w:val="Heading1"/>
        <w:keepLines w:val="0"/>
      </w:pPr>
      <w:r>
        <w:rPr>
          <w:rFonts w:ascii="Noto Sans" w:hAnsi="Noto Sans" w:eastAsia="Arial Unicode MS" w:cs="Noto Sans"/>
          <w:b w:val="0"/>
        </w:rPr>
        <w:t>Por favor, lembre-se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Canais oficiais genuínos não temem que você "verifique primeiro no site oficial". Qualquer pessoa que o inste a contornar o site oficial, a plataforma ou os processos de pagamento normais deve ser tratada com cautela.</w:t>
              <w:br/>
              <w:br/>
              <w:t>Se você não tiver certeza se uma mensagem é autêntica, cesse todas as ações e verifique através de support@dawnbloom.net ou https://dawnbloom.net.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 Id="rId25" Type="http://schemas.openxmlformats.org/officeDocument/2006/relationships/hyperlink" Target="mailto:suppor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Aviso de Canais Oficiais e Antifraude da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