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Informações Legais e Avisos da DAWNBLOOM</w:t>
      </w:r>
    </w:p>
    <w:p>
      <w:pPr>
        <w:keepLines w:val="0"/>
      </w:pPr>
      <w:r>
        <w:rPr>
          <w:rFonts w:ascii="Noto Sans" w:hAnsi="Noto Sans" w:eastAsia="Arial Unicode MS" w:cs="Noto Sans"/>
          <w:b w:val="0"/>
        </w:rPr>
        <w:t>Versão oficial</w:t>
      </w:r>
    </w:p>
    <w:p>
      <w:pPr>
        <w:keepLines w:val="0"/>
      </w:pPr>
      <w:r>
        <w:rPr>
          <w:rFonts w:ascii="Noto Sans" w:hAnsi="Noto Sans" w:eastAsia="Arial Unicode MS" w:cs="Noto Sans"/>
          <w:b w:val="0"/>
        </w:rPr>
        <w:t>Versão: V8</w:t>
      </w:r>
    </w:p>
    <w:p>
      <w:pPr>
        <w:keepLines w:val="0"/>
      </w:pPr>
      <w:r>
        <w:rPr>
          <w:rFonts w:ascii="Noto Sans" w:hAnsi="Noto Sans" w:eastAsia="Arial Unicode MS" w:cs="Noto Sans"/>
          <w:b w:val="0"/>
        </w:rPr>
        <w:t>Data de entrada em vigor: 10 de outubro de 2026</w:t>
      </w:r>
    </w:p>
    <w:p>
      <w:pPr>
        <w:keepLines w:val="0"/>
      </w:pPr>
      <w:r>
        <w:rPr>
          <w:rFonts w:ascii="Noto Sans" w:hAnsi="Noto Sans" w:eastAsia="Arial Unicode MS" w:cs="Noto Sans"/>
          <w:b w:val="0"/>
        </w:rPr>
        <w:t>Data de atualização: 10 de outubro de 2026</w:t>
      </w:r>
    </w:p>
    <w:p>
      <w:pPr>
        <w:keepLines w:val="0"/>
      </w:pPr>
      <w:r>
        <w:rPr>
          <w:rFonts w:ascii="Noto Sans" w:hAnsi="Noto Sans" w:eastAsia="Arial Unicode MS" w:cs="Noto Sans"/>
          <w:b w:val="0"/>
        </w:rPr>
        <w:t xml:space="preserve">Sites abrangidos: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e subdomínios oficiais</w:t>
      </w:r>
    </w:p>
    <w:p>
      <w:pPr>
        <w:keepLines w:val="0"/>
      </w:pPr>
      <w:r>
        <w:rPr>
          <w:rFonts w:ascii="Noto Sans" w:hAnsi="Noto Sans" w:eastAsia="Arial Unicode MS" w:cs="Noto Sans"/>
          <w:b w:val="0"/>
        </w:rPr>
        <w:t>Marcas abrangidas: os sete produtos DAWNBLOOM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Localização do arquivo</w:t>
              <w:br/>
              <w:t>Este documento serve como a porta de entrada legal oficial no site: fornecendo acesso público à entidade operadora e canais oficiais, declarações de direitos autorais e marcas registradas, identificadores de terceiros, procedimentos de notificação de violação, licenças abertas para republicação, declarações de software de código aberto, explicações sobre o serviço de jogador de IA e outros avisos legais. Políticas de privacidade, comportamento do jogador, uso do site, segurança da conta e questões de vendas e reembolsos são regidas por documentos dedicados separados.</w:t>
            </w:r>
          </w:p>
        </w:tc>
      </w:tr>
    </w:tbl>
    <w:p>
      <w:pPr>
        <w:spacing w:after="40"/>
      </w:pPr>
    </w:p>
    <w:p>
      <w:pPr>
        <w:pStyle w:val="Heading1"/>
        <w:keepLines w:val="0"/>
      </w:pPr>
      <w:r>
        <w:rPr>
          <w:rFonts w:ascii="Noto Sans" w:hAnsi="Noto Sans" w:eastAsia="Arial Unicode MS" w:cs="Noto Sans"/>
          <w:b w:val="0"/>
        </w:rPr>
        <w:t>1. Identidade Oficial, Entidade Operacional e Acesso a Documentos Legais</w:t>
      </w:r>
    </w:p>
    <w:p>
      <w:pPr>
        <w:keepLines w:val="0"/>
      </w:pPr>
      <w:r>
        <w:rPr>
          <w:rFonts w:ascii="Noto Sans" w:hAnsi="Noto Sans" w:eastAsia="Arial Unicode MS" w:cs="Noto Sans"/>
          <w:b w:val="0"/>
        </w:rPr>
        <w:t>O DAWNBLOOM é operado pela 上海追光智创文化传媒有限公司. A tabela identifica seu único site global e pontos de entrada regionais de idiomas. As entradas regionais levam apenas ao site principal e não criam operador, conta, serviço de pagamento ou download ou banco de dados separados. O operador forneceu a identidade de registro da empresa para a entrada da China. A entrada do Japão foi registrada com assistência; seu titular registrado e autorização formal ainda precisam ser verificados. Este documento não reivindica a propriedade da empresa do domínio do Japão. Sufixos de domínio não estabelecem hospedagem na China continental nem registro ICP, nem uma corporação ou filial japonesa. Outros sites, grupos, lojas e contas sociais são oficiais apenas quando expressamente listados pelo site principal.</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Projeto</w:t>
            </w:r>
          </w:p>
        </w:tc>
        <w:tc>
          <w:tcPr>
            <w:tcW w:type="dxa" w:w="4873"/>
            <w:vAlign w:val="center"/>
            <w:shd w:fill="DCE8F7"/>
          </w:tcPr>
          <w:p>
            <w:pPr>
              <w:keepNext/>
              <w:spacing w:after="40"/>
            </w:pPr>
            <w:r>
              <w:rPr>
                <w:rFonts w:ascii="Noto Sans" w:hAnsi="Noto Sans" w:eastAsia="Arial Unicode MS" w:cs="Noto Sans"/>
                <w:b/>
                <w:sz w:val="17"/>
              </w:rPr>
              <w:t>Informações oficiais</w:t>
            </w:r>
          </w:p>
        </w:tc>
      </w:tr>
      <w:tr>
        <w:trPr>
          <w:cantSplit/>
        </w:trPr>
        <w:tc>
          <w:tcPr>
            <w:tcW w:type="dxa" w:w="4873"/>
            <w:vAlign w:val="center"/>
          </w:tcPr>
          <w:p>
            <w:pPr>
              <w:spacing w:after="40"/>
            </w:pPr>
            <w:r>
              <w:rPr>
                <w:rFonts w:ascii="Noto Sans" w:hAnsi="Noto Sans" w:eastAsia="Arial Unicode MS" w:cs="Noto Sans"/>
                <w:sz w:val="17"/>
              </w:rPr>
              <w:t>Operador / provedor de serviços do site</w:t>
            </w:r>
          </w:p>
        </w:tc>
        <w:tc>
          <w:tcPr>
            <w:tcW w:type="dxa" w:w="4873"/>
            <w:vAlign w:val="center"/>
          </w:tcPr>
          <w:p>
            <w:pPr>
              <w:spacing w:after="40"/>
            </w:pPr>
            <w:r>
              <w:rPr>
                <w:rFonts w:ascii="Noto Sans" w:hAnsi="Noto Sans" w:eastAsia="Arial Unicode MS" w:cs="Noto Sans"/>
                <w:sz w:val="17"/>
              </w:rPr>
              <w:t>上海追光智创文化传媒有限公司 (Nome público em inglês: SHANGHAI LUMIREALM CREATIVE MEDIA CO., LTD.)</w:t>
            </w:r>
          </w:p>
        </w:tc>
      </w:tr>
      <w:tr>
        <w:trPr>
          <w:cantSplit/>
        </w:trPr>
        <w:tc>
          <w:tcPr>
            <w:tcW w:type="dxa" w:w="4873"/>
            <w:vAlign w:val="center"/>
          </w:tcPr>
          <w:p>
            <w:pPr>
              <w:spacing w:after="40"/>
            </w:pPr>
            <w:r>
              <w:rPr>
                <w:rFonts w:ascii="Noto Sans" w:hAnsi="Noto Sans" w:eastAsia="Arial Unicode MS" w:cs="Noto Sans"/>
                <w:sz w:val="17"/>
              </w:rPr>
              <w:t>Único site global</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Entrada de idioma chinês</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Entrada de idioma japonês</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(disponível; HTTPS 301)</w:t>
            </w:r>
          </w:p>
        </w:tc>
      </w:tr>
      <w:tr>
        <w:trPr>
          <w:cantSplit/>
        </w:trPr>
        <w:tc>
          <w:tcPr>
            <w:tcW w:type="dxa" w:w="4873"/>
            <w:vAlign w:val="center"/>
          </w:tcPr>
          <w:p>
            <w:pPr>
              <w:spacing w:after="40"/>
            </w:pPr>
            <w:r>
              <w:rPr>
                <w:rFonts w:ascii="Noto Sans" w:hAnsi="Noto Sans" w:eastAsia="Arial Unicode MS" w:cs="Noto Sans"/>
                <w:sz w:val="17"/>
              </w:rPr>
              <w:t>Entrada oficial de idioma coreano</w:t>
            </w:r>
          </w:p>
        </w:tc>
        <w:tc>
          <w:tcPr>
            <w:tcW w:type="dxa" w:w="4873"/>
            <w:vAlign w:val="center"/>
          </w:tcPr>
          <w:p>
            <w:pPr>
              <w:spacing w:after="40"/>
            </w:pPr>
            <w:r>
              <w:rPr>
                <w:rFonts w:ascii="Noto Sans" w:hAnsi="Noto Sans" w:eastAsia="Arial Unicode MS" w:cs="Noto Sans"/>
                <w:sz w:val="17"/>
              </w:rPr>
              <w:t xml:space="preserve">As entradas oficiais em coreano dawnbloom.kr e www.dawnbloom.kr usam redirecionamentos HTTPS 301 para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As alterações de DNS podem demorar para se propagar. Elas usam o site unificado e não criam um site separado, conta, banco de dados ou servidor de jogo coreano.</w:t>
            </w:r>
          </w:p>
        </w:tc>
      </w:tr>
      <w:tr>
        <w:trPr>
          <w:cantSplit/>
        </w:trPr>
        <w:tc>
          <w:tcPr>
            <w:tcW w:type="dxa" w:w="4873"/>
            <w:vAlign w:val="center"/>
          </w:tcPr>
          <w:p>
            <w:pPr>
              <w:spacing w:after="40"/>
            </w:pPr>
            <w:r>
              <w:rPr>
                <w:rFonts w:ascii="Noto Sans" w:hAnsi="Noto Sans" w:eastAsia="Arial Unicode MS" w:cs="Noto Sans"/>
                <w:sz w:val="17"/>
              </w:rPr>
              <w:t>Atendimento ao cliente geral</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Contato jurídico/direitos autorais</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Relatório de vulnerabilidades de segurança</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Endereço operacional / endereço de contato jurídico</w:t>
            </w:r>
          </w:p>
        </w:tc>
        <w:tc>
          <w:tcPr>
            <w:tcW w:type="dxa" w:w="4873"/>
            <w:vAlign w:val="center"/>
          </w:tcPr>
          <w:p>
            <w:pPr>
              <w:spacing w:after="40"/>
            </w:pPr>
            <w:r>
              <w:rPr>
                <w:rFonts w:ascii="Noto Sans" w:hAnsi="Noto Sans" w:eastAsia="Arial Unicode MS" w:cs="Noto Sans"/>
                <w:sz w:val="17"/>
              </w:rPr>
              <w:t>Sala 218, Edifício 3, Nº 336 Rua Tianjiao, Área Especial de Lin-gang, Zona de Livre Comércio Piloto da China (Xangai), China</w:t>
            </w:r>
          </w:p>
        </w:tc>
      </w:tr>
    </w:tbl>
    <w:p>
      <w:pPr>
        <w:spacing w:after="40"/>
      </w:pPr>
    </w:p>
    <w:p>
      <w:pPr>
        <w:keepLines w:val="0"/>
      </w:pPr>
      <w:r>
        <w:rPr>
          <w:rFonts w:ascii="Noto Sans" w:hAnsi="Noto Sans" w:eastAsia="Arial Unicode MS" w:cs="Noto Sans"/>
          <w:b w:val="0"/>
        </w:rPr>
        <w:t>O índice jurídico do site oficial reúne a Política de Privacidade DAWNBLOOM V8 unificada, que abrange o jogo, os seis aplicativos, o site oficial, as contas, a comunidade e o atendimento; os Termos de Uso dos Produtos e Serviços DAWNBLOOM; os Termos de Serviço do DAWNBLOOM Browser; o Código de Conduta dos Jogadores e as Regras de Penalidades por Infrações; as Condições de Venda e Reembolso; a Política de Cookies e Tecnologias Semelhantes; o Guia de Obras Derivadas e Conteúdo de Fãs; o Aviso sobre Canais Oficiais e Prevenção de Fraudes; e este documento. O âmbito específico, a versão e as explicações por produto são os constantes das respectivas páginas oficiais; os termos específicos do navegador não aplicam as regras do jogo à navegação comum.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Lembrete antifraude: O DAWNBLOOM oficial, o Espírito do Amanhecer e sua equipe nunca solicitarão sua senha de conta, senha de pagamento, detalhes completos do cartão bancário ou um código de verificação único completo por mensagens privadas. Se você encontrar alguém que afirma ser um "GM", "atendimento ao cliente" ou "representante oficial" pedindo para transferir dinheiro privadamente, instalar software não verificado, compartilhar a tela ou fornecer senhas ou códigos de verificação completos, pare todas as ações imediatamente e verifique a solicitação através do site oficial ou canais oficiais de atendimento ao cliente.</w:t>
            </w:r>
          </w:p>
        </w:tc>
      </w:tr>
    </w:tbl>
    <w:p>
      <w:pPr>
        <w:spacing w:after="40"/>
      </w:pPr>
    </w:p>
    <w:p>
      <w:pPr>
        <w:pStyle w:val="Heading1"/>
        <w:keepLines w:val="0"/>
      </w:pPr>
      <w:r>
        <w:rPr>
          <w:rFonts w:ascii="Noto Sans" w:hAnsi="Noto Sans" w:eastAsia="Arial Unicode MS" w:cs="Noto Sans"/>
          <w:b w:val="0"/>
        </w:rPr>
        <w:t>2. Propriedade Intelectual e Identidade de Marca da DAWNBLOOM</w:t>
      </w:r>
    </w:p>
    <w:p>
      <w:pPr>
        <w:keepLines w:val="0"/>
      </w:pPr>
      <w:r>
        <w:rPr>
          <w:rFonts w:ascii="Noto Sans" w:hAnsi="Noto Sans" w:eastAsia="Arial Unicode MS" w:cs="Noto Sans"/>
          <w:b w:val="0"/>
        </w:rPr>
        <w:t>Exceto quando explicitamente marcado como tal ou de propriedade de terceiros, o conteúdo do DAWNBLOOM e de seu site oficial, aplicativo cliente e canais promocionais — incluindo nomes de jogos, logotipos, personagens, Bestas Fantasma, mapas, cosmologias, roteiros, textos, artes, interfaces, ícones, animações, músicas, efeitos sonoros, vídeos, design visual do site, código de software, estrutura de banco de dados e outros elementos originais e criativos — é protegido por direitos autorais, leis de marcas registradas, Lei de Concorrência Desleal e outras leis aplicáveis.</w:t>
      </w:r>
    </w:p>
    <w:p>
      <w:pPr>
        <w:keepLines w:val="0"/>
      </w:pPr>
      <w:r>
        <w:rPr>
          <w:rFonts w:ascii="Noto Sans" w:hAnsi="Noto Sans" w:eastAsia="Arial Unicode MS" w:cs="Noto Sans"/>
          <w:b w:val="0"/>
        </w:rPr>
        <w:t>O material de propriedade do DAWNBLOOM também inclui os nomes, ícones, interfaces, designs de clientes, páginas de produtos, capturas de tela publicadas e códigos dos seis aplicativos. Relatórios de notícias, sites visitados no Navegador, e-mails de usuários e conteúdo de provedores de e-mail não se tornam propriedade do DAWNBLOOM simplesmente porque um aplicativo os exibe.</w:t>
      </w:r>
    </w:p>
    <w:p>
      <w:pPr>
        <w:keepLines w:val="0"/>
      </w:pPr>
      <w:r>
        <w:rPr>
          <w:rFonts w:ascii="Noto Sans" w:hAnsi="Noto Sans" w:eastAsia="Arial Unicode MS" w:cs="Noto Sans"/>
          <w:b w:val="0"/>
        </w:rPr>
        <w:t>"DAWNBLOOM" e suas marcas gráficas relacionadas servem como identificadores de marca oficiais do projeto. As solicitações de registro de marca, registros e escopo de proteção estão sujeitos à aprovação final e aos bens e serviços designados determinados pelas autoridades nacionais de propriedade intelectual. O símbolo de marca registrada (®) e designações semelhantes devem ser usados apenas quando a marca tiver sido legalmente aprovada e registrada, e estiver sendo usada dentro do escopo oficialmente designado; qualquer marca atualmente em processo de solicitação, exame ou pendente de aprovação final não deve ser promovida de maneira que possa induzir o público a acreditar que obteve direitos exclusivos de marca.</w:t>
      </w:r>
    </w:p>
    <w:p>
      <w:pPr>
        <w:keepLines w:val="0"/>
      </w:pPr>
      <w:r>
        <w:rPr>
          <w:rFonts w:ascii="Noto Sans" w:hAnsi="Noto Sans" w:eastAsia="Arial Unicode MS" w:cs="Noto Sans"/>
          <w:b w:val="0"/>
        </w:rPr>
        <w:t>As declarações de direitos neste documento não ampliam os direitos exclusivos concedidos por lei, nem restringem usos legais e razoáveis, como citação, comentário, reportagem jornalística ou outros usos que não exijam permissão separada.</w:t>
      </w:r>
    </w:p>
    <w:p>
      <w:pPr>
        <w:pStyle w:val="Heading1"/>
        <w:keepLines w:val="0"/>
      </w:pPr>
      <w:r>
        <w:rPr>
          <w:rFonts w:ascii="Noto Sans" w:hAnsi="Noto Sans" w:eastAsia="Arial Unicode MS" w:cs="Noto Sans"/>
          <w:b w:val="0"/>
        </w:rPr>
        <w:t>3. Licença de Redistribuição Gratuita para Conteúdo Público Oficial</w:t>
      </w:r>
    </w:p>
    <w:p>
      <w:pPr>
        <w:keepLines w:val="0"/>
      </w:pPr>
      <w:r>
        <w:rPr>
          <w:rFonts w:ascii="Noto Sans" w:hAnsi="Noto Sans" w:eastAsia="Arial Unicode MS" w:cs="Noto Sans"/>
          <w:b w:val="0"/>
        </w:rPr>
        <w:t>A DAWNBLOOM dá as boas-vindas a jogadores, mídia, streamers, comunidades e criadores de conteúdo para disseminar publicamente informações disponíveis sobre o jogo. Para o conteúdo que tenha sido lançado oficialmente através do site oficial, plataformas oficiais da comunidade ou contas oficiais de redes sociais, e que não tenha especificado restrições de uso de outra forma, o operador concede aqui uma licença global, não exclusiva e livre de royalties para republicação e compartilhamento, sem necessidade de aprovação prévia:</w:t>
      </w:r>
    </w:p>
    <w:p>
      <w:pPr>
        <w:pStyle w:val="ListBullet"/>
        <w:keepLines w:val="0"/>
      </w:pPr>
      <w:r>
        <w:rPr>
          <w:rFonts w:ascii="Noto Sans" w:hAnsi="Noto Sans" w:eastAsia="Arial Unicode MS" w:cs="Noto Sans"/>
          <w:b w:val="0"/>
        </w:rPr>
        <w:t>Notícias oficiais, anúncios, notas de atualização de versão e informações de eventos públicos;</w:t>
      </w:r>
    </w:p>
    <w:p>
      <w:pPr>
        <w:pStyle w:val="ListBullet"/>
        <w:keepLines w:val="0"/>
      </w:pPr>
      <w:r>
        <w:rPr>
          <w:rFonts w:ascii="Noto Sans" w:hAnsi="Noto Sans" w:eastAsia="Arial Unicode MS" w:cs="Noto Sans"/>
          <w:b w:val="0"/>
        </w:rPr>
        <w:t>Guias públicos oficiais, perguntas frequentes e explicações de regras visíveis aos jogadores;</w:t>
      </w:r>
    </w:p>
    <w:p>
      <w:pPr>
        <w:pStyle w:val="ListBullet"/>
        <w:keepLines w:val="0"/>
      </w:pPr>
      <w:r>
        <w:rPr>
          <w:rFonts w:ascii="Noto Sans" w:hAnsi="Noto Sans" w:eastAsia="Arial Unicode MS" w:cs="Noto Sans"/>
          <w:b w:val="0"/>
        </w:rPr>
        <w:t>Capturas de tela promocionais oficiais, pôsteres, banners e materiais de mídia social usados para divulgação pública;</w:t>
      </w:r>
    </w:p>
    <w:p>
      <w:pPr>
        <w:pStyle w:val="ListBullet"/>
        <w:keepLines w:val="0"/>
      </w:pPr>
      <w:r>
        <w:rPr>
          <w:rFonts w:ascii="Noto Sans" w:hAnsi="Noto Sans" w:eastAsia="Arial Unicode MS" w:cs="Noto Sans"/>
          <w:b w:val="0"/>
        </w:rPr>
        <w:t>Outros materiais explicitamente marcados pelo operador como distribuíveis publicamente.</w:t>
      </w:r>
    </w:p>
    <w:p>
      <w:pPr>
        <w:keepLines w:val="0"/>
      </w:pPr>
      <w:r>
        <w:rPr>
          <w:rFonts w:ascii="Noto Sans" w:hAnsi="Noto Sans" w:eastAsia="Arial Unicode MS" w:cs="Noto Sans"/>
          <w:b w:val="0"/>
        </w:rPr>
        <w:t>Para adaptação a artigos, vídeos, transmissões ao vivo, redes sociais ou formatos diferentes, podem ser realizadas escalação, corte, compressão, legendagem ou conversão de formato necessários; no entanto, a intenção original do conteúdo oficial não deve ser distorcida, declarações oficiais não devem ser falsificadas, não deve ser causada confusão sobre a fonte nem suplantada a identidade oficial. Também é proibido induzir o público a acreditar que qualquer conteúdo, produto ou serviço relacionado obteve autorização, certificação ou endosso oficial da DAWNBLOOM.</w:t>
      </w:r>
    </w:p>
    <w:p>
      <w:pPr>
        <w:pStyle w:val="Heading1"/>
        <w:keepLines w:val="0"/>
      </w:pPr>
      <w:r>
        <w:rPr>
          <w:rFonts w:ascii="Noto Sans" w:hAnsi="Noto Sans" w:eastAsia="Arial Unicode MS" w:cs="Noto Sans"/>
          <w:b w:val="0"/>
        </w:rPr>
        <w:t>3.1 Esta licença de redistribuição gratuita NÃO se estende ao seguinte:</w:t>
      </w:r>
    </w:p>
    <w:p>
      <w:pPr>
        <w:pStyle w:val="ListBullet"/>
        <w:keepLines w:val="0"/>
      </w:pPr>
      <w:r>
        <w:rPr>
          <w:rFonts w:ascii="Noto Sans" w:hAnsi="Noto Sans" w:eastAsia="Arial Unicode MS" w:cs="Noto Sans"/>
          <w:b w:val="0"/>
        </w:rPr>
        <w:t>Impersonificar a DAWNBLOOM, fabricar um site oficial, atendimento ao cliente oficial, evento oficial, anúncio oficial ou relação de autorização oficial;</w:t>
      </w:r>
    </w:p>
    <w:p>
      <w:pPr>
        <w:pStyle w:val="ListBullet"/>
        <w:keepLines w:val="0"/>
      </w:pPr>
      <w:r>
        <w:rPr>
          <w:rFonts w:ascii="Noto Sans" w:hAnsi="Noto Sans" w:eastAsia="Arial Unicode MS" w:cs="Noto Sans"/>
          <w:b w:val="0"/>
        </w:rPr>
        <w:t>É estritamente proibido usar o nome, logotipo, personagens, obras de arte ou outros materiais da DAWNBLOOM para criar, promover ou operar servidores privados não autorizados, software cliente pirateado, jogos falsificados, páginas fraudulentas ou serviços comerciais que possam induzir os usuários a acreditar que estão afiliados ao jogo oficial;</w:t>
      </w:r>
    </w:p>
    <w:p>
      <w:pPr>
        <w:pStyle w:val="ListBullet"/>
        <w:keepLines w:val="0"/>
      </w:pPr>
      <w:r>
        <w:rPr>
          <w:rFonts w:ascii="Noto Sans" w:hAnsi="Noto Sans" w:eastAsia="Arial Unicode MS" w:cs="Noto Sans"/>
          <w:b w:val="0"/>
        </w:rPr>
        <w:t>Extrair, reembalar, vender ou distribuir arquivos de arte originais, código-fonte, arquivos de origem de música/efeitos sonoros, arquivos de fontes, materiais não publicados, documentos de planejamento interno, dados de back-end, tabelas de probabilidade não publicadas, fórmulas internas, multiplicadores ou outros ativos não públicos;</w:t>
      </w:r>
    </w:p>
    <w:p>
      <w:pPr>
        <w:pStyle w:val="ListBullet"/>
        <w:keepLines w:val="0"/>
      </w:pPr>
      <w:r>
        <w:rPr>
          <w:rFonts w:ascii="Noto Sans" w:hAnsi="Noto Sans" w:eastAsia="Arial Unicode MS" w:cs="Noto Sans"/>
          <w:b w:val="0"/>
        </w:rPr>
        <w:t>Modificar pacotes de instalação oficiais, patches ou arquivos executáveis e redistribuí-los sob o nome de uma versão oficial;</w:t>
      </w:r>
    </w:p>
    <w:p>
      <w:pPr>
        <w:pStyle w:val="ListBullet"/>
        <w:keepLines w:val="0"/>
      </w:pPr>
      <w:r>
        <w:rPr>
          <w:rFonts w:ascii="Noto Sans" w:hAnsi="Noto Sans" w:eastAsia="Arial Unicode MS" w:cs="Noto Sans"/>
          <w:b w:val="0"/>
        </w:rPr>
        <w:t>Uso de materiais oficiais para fraude, desvio malicioso de tráfego, transações ilegais, violação de direitos de propriedade ou qualquer outro uso que prejudique claramente a segurança dos jogadores ou os interesses legítimos do projeto.</w:t>
      </w:r>
    </w:p>
    <w:p>
      <w:pPr>
        <w:keepLines w:val="0"/>
      </w:pPr>
      <w:r>
        <w:rPr>
          <w:rFonts w:ascii="Noto Sans" w:hAnsi="Noto Sans" w:eastAsia="Arial Unicode MS" w:cs="Noto Sans"/>
          <w:b w:val="0"/>
        </w:rPr>
        <w:t>Transmissões ao vivo normais, transmissões gravadas, vídeos de guia, comentários, discussões de fanfics e compartilhamento comunitário pelos jogadores não estão sujeitos a restrições adicionais sob esta licença; quando envolverem música de terceiros, fontes, logotipos de plataforma ou outros materiais de terceiros, tal uso também deverá cumprir as regras dos respectivos detentores de direitos.</w:t>
      </w:r>
    </w:p>
    <w:p>
      <w:pPr>
        <w:pStyle w:val="Heading1"/>
        <w:keepLines w:val="0"/>
      </w:pPr>
      <w:r>
        <w:rPr>
          <w:rFonts w:ascii="Noto Sans" w:hAnsi="Noto Sans" w:eastAsia="Arial Unicode MS" w:cs="Noto Sans"/>
          <w:b w:val="0"/>
        </w:rPr>
        <w:t>4. Conteúdo Gerado por Jogadores, DAWNBLOOM Community e Reclamações de Direitos Autorais</w:t>
      </w:r>
    </w:p>
    <w:p>
      <w:pPr>
        <w:keepLines w:val="0"/>
      </w:pPr>
      <w:r>
        <w:rPr>
          <w:rFonts w:ascii="Noto Sans" w:hAnsi="Noto Sans" w:eastAsia="Arial Unicode MS" w:cs="Noto Sans"/>
          <w:b w:val="0"/>
        </w:rPr>
        <w:t>Se você acredita que o conteúdo gerado pelo usuário na DAWNBLOOM Community oficial ou em outras páginas oficiais da DAWNBLOOM viola seus direitos autorais, direitos de marca registrada, direito de imagem, direitos de reputação ou quaisquer outros direitos e interesses legítimos, pode apresentar uma reclamação através do canal de contato legal/direitos autorais oficial. Para fins de verificação, recomendamos fornecer:</w:t>
      </w:r>
    </w:p>
    <w:p>
      <w:pPr>
        <w:keepLines w:val="0"/>
      </w:pPr>
      <w:r>
        <w:rPr>
          <w:rFonts w:ascii="Noto Sans" w:hAnsi="Noto Sans" w:eastAsia="Arial Unicode MS" w:cs="Noto Sans"/>
          <w:b w:val="0"/>
        </w:rPr>
        <w:t>Se você acredita que o conteúdo gerado pelo usuário na DAWNBLOOM Community oficial ou em outras páginas oficiais da DAWNBLOOM viola seus direitos autorais, direitos de marca registrada, direito de imagem, direitos de reputação ou quaisquer outros direitos e interesses legítimos, você pode enviar uma reclamação através do canal de contato legal/direitos autorais oficial. Para fins de verificação, recomendamos fornecer:</w:t>
      </w:r>
    </w:p>
    <w:p>
      <w:pPr>
        <w:pStyle w:val="ListBullet"/>
        <w:keepLines w:val="0"/>
      </w:pPr>
      <w:r>
        <w:rPr>
          <w:rFonts w:ascii="Noto Sans" w:hAnsi="Noto Sans" w:eastAsia="Arial Unicode MS" w:cs="Noto Sans"/>
          <w:b w:val="0"/>
        </w:rPr>
        <w:t>O nome ou razão social do detentor dos direitos e as informações de contato, incluindo e-mail, telefone ou outros detalhes de contato;</w:t>
      </w:r>
    </w:p>
    <w:p>
      <w:pPr>
        <w:pStyle w:val="ListBullet"/>
        <w:keepLines w:val="0"/>
      </w:pPr>
      <w:r>
        <w:rPr>
          <w:rFonts w:ascii="Noto Sans" w:hAnsi="Noto Sans" w:eastAsia="Arial Unicode MS" w:cs="Noto Sans"/>
          <w:b w:val="0"/>
        </w:rPr>
        <w:t>Provas que estabeleçam preliminarmente a propriedade ou autorização;</w:t>
      </w:r>
    </w:p>
    <w:p>
      <w:pPr>
        <w:pStyle w:val="ListBullet"/>
        <w:keepLines w:val="0"/>
      </w:pPr>
      <w:r>
        <w:rPr>
          <w:rFonts w:ascii="Noto Sans" w:hAnsi="Noto Sans" w:eastAsia="Arial Unicode MS" w:cs="Noto Sans"/>
          <w:b w:val="0"/>
        </w:rPr>
        <w:t>A URL do conteúdo reclamado, ID da postagem, captura de tela ou outra informação de identificação precisa;</w:t>
      </w:r>
    </w:p>
    <w:p>
      <w:pPr>
        <w:pStyle w:val="ListBullet"/>
        <w:keepLines w:val="0"/>
      </w:pPr>
      <w:r>
        <w:rPr>
          <w:rFonts w:ascii="Noto Sans" w:hAnsi="Noto Sans" w:eastAsia="Arial Unicode MS" w:cs="Noto Sans"/>
          <w:b w:val="0"/>
        </w:rPr>
        <w:t>Uma breve declaração sobre a suposta violação e a ação desejada;</w:t>
      </w:r>
    </w:p>
    <w:p>
      <w:pPr>
        <w:pStyle w:val="ListBullet"/>
        <w:keepLines w:val="0"/>
      </w:pPr>
      <w:r>
        <w:rPr>
          <w:rFonts w:ascii="Noto Sans" w:hAnsi="Noto Sans" w:eastAsia="Arial Unicode MS" w:cs="Noto Sans"/>
          <w:b w:val="0"/>
        </w:rPr>
        <w:t>Uma declaração confirmando a precisão e autenticidade da reclamação, e a disposição de assumir a responsabilidade por qualquer alegação maliciosa ou falsa.</w:t>
      </w:r>
    </w:p>
    <w:p>
      <w:pPr>
        <w:keepLines w:val="0"/>
      </w:pPr>
      <w:r>
        <w:rPr>
          <w:rFonts w:ascii="Noto Sans" w:hAnsi="Noto Sans" w:eastAsia="Arial Unicode MS" w:cs="Noto Sans"/>
          <w:b w:val="0"/>
        </w:rPr>
        <w:t>Ao receber um aviso contendo informações básicas verificáveis, o operador deverá, com base na natureza do conteúdo, nas provas preliminares e nas leis aplicáveis, tomar prontamente medidas razoáveis, como entrar em contato com o editor do conteúdo, restringir a exibição, bloquear temporariamente, remover conteúdo, desconectar links, preservar evidências, restaurar conteúdo excluído acidentalmente, fornecer canais para recursos ou contra-notificações, ou rejeitar claramente reclamações manifestamente infundadas.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De acordo com as regulamentações atuais de direitos autorais na internet chinesa e as práticas judiciais, o mecanismo de "notificação-remoção" é enfatizado. Os avisos de violação de direitos autorais devem incluir informações suficientes para identificar o conteúdo e evidências preliminares que sustentem a alegação de direitos ou violação; ao receber um aviso válido, a plataforma deve tomar prontamente as ações necessárias com base nas circunstâncias específicas.</w:t>
            </w:r>
          </w:p>
        </w:tc>
      </w:tr>
    </w:tbl>
    <w:p>
      <w:pPr>
        <w:spacing w:after="40"/>
      </w:pPr>
    </w:p>
    <w:p>
      <w:pPr>
        <w:pStyle w:val="Heading1"/>
        <w:keepLines w:val="0"/>
      </w:pPr>
      <w:r>
        <w:rPr>
          <w:rFonts w:ascii="Noto Sans" w:hAnsi="Noto Sans" w:eastAsia="Arial Unicode MS" w:cs="Noto Sans"/>
          <w:b w:val="0"/>
        </w:rPr>
        <w:t>5. Reclamações de Direitos Autorais de Usuários dos EUA</w:t>
      </w:r>
    </w:p>
    <w:p>
      <w:pPr>
        <w:keepLines w:val="0"/>
      </w:pPr>
      <w:r>
        <w:rPr>
          <w:rFonts w:ascii="Noto Sans" w:hAnsi="Noto Sans" w:eastAsia="Arial Unicode MS" w:cs="Noto Sans"/>
          <w:b w:val="0"/>
        </w:rPr>
        <w:t xml:space="preserve">Se você acredita que o conteúdo na DAWNBLOOM Community ou no site oficial viola seus direitos autorais, envie a URL do conteúdo, os detalhes da obra protegida, a prova de propriedade ou autorização e um e-mail de contato para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Revisaremos e responderemos conforme as regras aplicáveis.</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é atualmente o canal geral de reclamações sobre direitos autorais. Esta página não afirma que um agente designado foi registrado sob a Seção 512 do DMCA, nem apresenta a caixa de correio geral como um agente designado registrado.</w:t>
      </w:r>
    </w:p>
    <w:p>
      <w:pPr>
        <w:keepLines w:val="0"/>
      </w:pPr>
      <w:r>
        <w:rPr>
          <w:rFonts w:ascii="Noto Sans" w:hAnsi="Noto Sans" w:eastAsia="Arial Unicode MS" w:cs="Noto Sans"/>
          <w:b w:val="0"/>
        </w:rPr>
        <w:t>Se um processo dedicado de notificação, remoção e contranotificação dos EUA for introduzido, seu escopo, as informações exigidas e as etapas de tratamento serão publicados no ponto de entrada formal.</w:t>
      </w:r>
    </w:p>
    <w:p>
      <w:pPr>
        <w:keepLines w:val="0"/>
      </w:pPr>
      <w:r>
        <w:rPr>
          <w:rFonts w:ascii="Noto Sans" w:hAnsi="Noto Sans" w:eastAsia="Arial Unicode MS" w:cs="Noto Sans"/>
          <w:b w:val="0"/>
        </w:rPr>
        <w:t>Se você acredita que seu conteúdo foi removido por erro, você também pode solicitar uma revisão por meio desse e-mail com a URL original do conteúdo, o aviso de remoção, a base de seus direitos ou autorização e os detalhes de contato.</w:t>
      </w:r>
    </w:p>
    <w:p>
      <w:pPr>
        <w:pStyle w:val="Heading1"/>
        <w:keepLines w:val="0"/>
      </w:pPr>
      <w:r>
        <w:rPr>
          <w:rFonts w:ascii="Noto Sans" w:hAnsi="Noto Sans" w:eastAsia="Arial Unicode MS" w:cs="Noto Sans"/>
          <w:b w:val="0"/>
        </w:rPr>
        <w:t>6. Direitos Autorais no Japão e Conteúdo Gerado por Jogadores</w:t>
      </w:r>
    </w:p>
    <w:p>
      <w:pPr>
        <w:keepLines w:val="0"/>
      </w:pPr>
      <w:r>
        <w:rPr>
          <w:rFonts w:ascii="Noto Sans" w:hAnsi="Noto Sans" w:eastAsia="Arial Unicode MS" w:cs="Noto Sans"/>
          <w:b w:val="0"/>
        </w:rPr>
        <w:t>Ao fornecer conteúdo para usuários japoneses, qualquer compartilhamento público, upload ou uso de obras de terceiros geralmente deve estar em conformidade com a Lei de Direitos Autorais do Japão e o escopo da autorização detida pelos respectivos titulares de direitos. A licença concedida pela DAWNBLOOM para compartilhar materiais oficiais cobre apenas o conteúdo oficial explicitamente permitido na Seção 3 deste documento e não constitui autorização de nenhum outro titular de direitos.</w:t>
      </w:r>
    </w:p>
    <w:p>
      <w:pPr>
        <w:keepLines w:val="0"/>
      </w:pPr>
      <w:r>
        <w:rPr>
          <w:rFonts w:ascii="Noto Sans" w:hAnsi="Noto Sans" w:eastAsia="Arial Unicode MS" w:cs="Noto Sans"/>
          <w:b w:val="0"/>
        </w:rPr>
        <w:t>Se o conteúdo carregado por usuários japoneses for objeto de reclamação por titulares de direitos, o operador pode realizar verificações e tratamentos de acordo com as leis aplicáveis, as regras da plataforma e os mecanismos especificados na Seção 4 deste documento. Para os limites aplicáveis de fanfics, transmissões ao vivo, edição de vídeo e outras obras de fãs, consulte as atuais Diretrizes de Conteúdo de Fãs e Obras Derivadas.</w:t>
      </w:r>
    </w:p>
    <w:p>
      <w:pPr>
        <w:pStyle w:val="Heading1"/>
        <w:keepLines w:val="0"/>
      </w:pPr>
      <w:r>
        <w:rPr>
          <w:rFonts w:ascii="Noto Sans" w:hAnsi="Noto Sans" w:eastAsia="Arial Unicode MS" w:cs="Noto Sans"/>
          <w:b w:val="0"/>
        </w:rPr>
        <w:t>7. Declarações sobre Marcas Registradas e Marcas de Terceiros</w:t>
      </w:r>
    </w:p>
    <w:p>
      <w:pPr>
        <w:keepLines w:val="0"/>
      </w:pPr>
      <w:r>
        <w:rPr>
          <w:rFonts w:ascii="Noto Sans" w:hAnsi="Noto Sans" w:eastAsia="Arial Unicode MS" w:cs="Noto Sans"/>
          <w:b w:val="0"/>
        </w:rPr>
        <w:t>O site da DAWNBLOOM, o aplicativo cliente ou materiais promocionais podem fazer referência a nomes, marcas registradas, marcas de serviço ou logotipos oficiais de terceiros para ilustrar compatibilidade com a plataforma, pontos de download, métodos de pagamento, canais comunitários ou serviços relacionados. Essas referências são apenas para fins de identificação e não implicam que o terceiro participe do desenvolvimento, distribuição, operação, patrocínio, certificação ou endosso da DAWNBLOOM, exceto quando explicitamente declarado por escrito.</w:t>
      </w:r>
    </w:p>
    <w:p>
      <w:pPr>
        <w:keepLines w:val="0"/>
      </w:pPr>
      <w:r>
        <w:rPr>
          <w:rFonts w:ascii="Noto Sans" w:hAnsi="Noto Sans" w:eastAsia="Arial Unicode MS" w:cs="Noto Sans"/>
          <w:b w:val="0"/>
        </w:rPr>
        <w:t>Nomes e marcas como Apple, Google, Microsoft, Steam, App Store, Google Play, Gmail e Outlook pertencem aos seus respectivos proprietários. Uma referência de compatibilidade ou link para loja não implica parceria ou endosso.</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Exemplos de identificadores de terceiros</w:t>
            </w:r>
          </w:p>
        </w:tc>
        <w:tc>
          <w:tcPr>
            <w:tcW w:type="dxa" w:w="4873"/>
            <w:vAlign w:val="center"/>
            <w:shd w:fill="DCE8F7"/>
          </w:tcPr>
          <w:p>
            <w:pPr>
              <w:keepNext/>
              <w:spacing w:after="40"/>
            </w:pPr>
            <w:r>
              <w:rPr>
                <w:rFonts w:ascii="Noto Sans" w:hAnsi="Noto Sans" w:eastAsia="Arial Unicode MS" w:cs="Noto Sans"/>
                <w:b/>
                <w:sz w:val="17"/>
              </w:rPr>
              <w:t>Explicação</w:t>
            </w:r>
          </w:p>
        </w:tc>
      </w:tr>
      <w:tr>
        <w:trPr>
          <w:cantSplit/>
        </w:trPr>
        <w:tc>
          <w:tcPr>
            <w:tcW w:type="dxa" w:w="4873"/>
            <w:vAlign w:val="center"/>
          </w:tcPr>
          <w:p>
            <w:pPr>
              <w:spacing w:after="40"/>
            </w:pPr>
            <w:r>
              <w:rPr>
                <w:rFonts w:ascii="Noto Sans" w:hAnsi="Noto Sans" w:eastAsia="Arial Unicode MS" w:cs="Noto Sans"/>
                <w:sz w:val="17"/>
              </w:rPr>
              <w:t>Apple, App Store, Apple Pay, iPhone, iPad, Mac, etc.</w:t>
            </w:r>
          </w:p>
        </w:tc>
        <w:tc>
          <w:tcPr>
            <w:tcW w:type="dxa" w:w="4873"/>
            <w:vAlign w:val="center"/>
          </w:tcPr>
          <w:p>
            <w:pPr>
              <w:spacing w:after="40"/>
            </w:pPr>
            <w:r>
              <w:rPr>
                <w:rFonts w:ascii="Noto Sans" w:hAnsi="Noto Sans" w:eastAsia="Arial Unicode MS" w:cs="Noto Sans"/>
                <w:sz w:val="17"/>
              </w:rPr>
              <w:t>Os nomes e logotipos referenciados são de propriedade da Apple Inc. ou de seus titulares de direitos afiliados. Ao usar logotipos oficiais como App Store ou Apple Pay, deve-se observar estritamente a conformidade com as diretrizes mais recentes de marca e legais da Apple.</w:t>
            </w:r>
          </w:p>
        </w:tc>
      </w:tr>
      <w:tr>
        <w:trPr>
          <w:cantSplit/>
        </w:trPr>
        <w:tc>
          <w:tcPr>
            <w:tcW w:type="dxa" w:w="4873"/>
            <w:vAlign w:val="center"/>
          </w:tcPr>
          <w:p>
            <w:pPr>
              <w:spacing w:after="40"/>
            </w:pPr>
            <w:r>
              <w:rPr>
                <w:rFonts w:ascii="Noto Sans" w:hAnsi="Noto Sans" w:eastAsia="Arial Unicode MS" w:cs="Noto Sans"/>
                <w:sz w:val="17"/>
              </w:rPr>
              <w:t>Steam, Logotipo da Steam, Valve</w:t>
            </w:r>
          </w:p>
        </w:tc>
        <w:tc>
          <w:tcPr>
            <w:tcW w:type="dxa" w:w="4873"/>
            <w:vAlign w:val="center"/>
          </w:tcPr>
          <w:p>
            <w:pPr>
              <w:spacing w:after="40"/>
            </w:pPr>
            <w:r>
              <w:rPr>
                <w:rFonts w:ascii="Noto Sans" w:hAnsi="Noto Sans" w:eastAsia="Arial Unicode MS" w:cs="Noto Sans"/>
                <w:sz w:val="17"/>
              </w:rPr>
              <w:t>Os nomes e logotipos referenciados são de propriedade da Valve Corporation ou de seus titulares de direitos afiliados. A marca Steam não deve ser usada para implicar patrocínio ou endosso da Valve para conteúdo não relacionado à Valve.</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Os nomes e logotipos referenciados pertencem aos seus respectivos titulares de direitos.</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Os nomes e logotipos referenciados pertencem aos seus respectivos titulares de direitos.</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Estes são indicados apenas como possíveis métodos de pagamento ou integrações de serviços de terceiros; as marcas registradas pertencem aos seus respectivos titulares de direitos.</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etc.</w:t>
            </w:r>
          </w:p>
        </w:tc>
        <w:tc>
          <w:tcPr>
            <w:tcW w:type="dxa" w:w="4873"/>
            <w:vAlign w:val="center"/>
          </w:tcPr>
          <w:p>
            <w:pPr>
              <w:spacing w:after="40"/>
            </w:pPr>
            <w:r>
              <w:rPr>
                <w:rFonts w:ascii="Noto Sans" w:hAnsi="Noto Sans" w:eastAsia="Arial Unicode MS" w:cs="Noto Sans"/>
                <w:sz w:val="17"/>
              </w:rPr>
              <w:t>Estes são usados apenas para identificar canais comunitários ou sociais oficiais ou serviços de terceiros; as marcas registradas pertencem aos seus respectivos titulares de direitos.</w:t>
            </w:r>
          </w:p>
        </w:tc>
      </w:tr>
    </w:tbl>
    <w:p>
      <w:pPr>
        <w:spacing w:after="40"/>
      </w:pPr>
    </w:p>
    <w:p>
      <w:pPr>
        <w:keepLines w:val="0"/>
      </w:pPr>
      <w:r>
        <w:rPr>
          <w:rFonts w:ascii="Noto Sans" w:hAnsi="Noto Sans" w:eastAsia="Arial Unicode MS" w:cs="Noto Sans"/>
          <w:b w:val="0"/>
        </w:rPr>
        <w:t>O operador se esforçará para usar logotipos e ativos de marca oficiais fornecidos por terceiros, e cumprirá os requisitos relativos a tamanho, espaçamento, cor, rotulagem e "sem implicação de endosso". As diretrizes de marca de terceiros podem ser atualizadas; o site oficial seguirá as diretrizes oficiais mais recentes emitidas pelo terceiro.</w:t>
      </w:r>
    </w:p>
    <w:p>
      <w:pPr>
        <w:pStyle w:val="Heading1"/>
        <w:keepLines w:val="0"/>
      </w:pPr>
      <w:r>
        <w:rPr>
          <w:rFonts w:ascii="Noto Sans" w:hAnsi="Noto Sans" w:eastAsia="Arial Unicode MS" w:cs="Noto Sans"/>
          <w:b w:val="0"/>
        </w:rPr>
        <w:t>8. Software de Código Aberto e Declarações de Componentes de Terceiros</w:t>
      </w:r>
    </w:p>
    <w:p>
      <w:pPr>
        <w:keepLines w:val="0"/>
      </w:pPr>
      <w:r>
        <w:rPr>
          <w:rFonts w:ascii="Noto Sans" w:hAnsi="Noto Sans" w:eastAsia="Arial Unicode MS" w:cs="Noto Sans"/>
          <w:b w:val="0"/>
        </w:rPr>
        <w:t>O cliente de jogo DAWNBLOOM, o servidor, o site oficial ou as ferramentas de desenvolvimento relacionadas podem incluir ou depender de software de código aberto de terceiros, bibliotecas, frameworks, fontes, componentes de processamento de áudio/imagem e outras tecnologias. Esses componentes de terceiros permanecem sujeitos às suas respectivas licenças, avisos de direitos autorais, requisitos de atribuição e outros termos aplicáveis.</w:t>
      </w:r>
    </w:p>
    <w:p>
      <w:pPr>
        <w:keepLines w:val="0"/>
      </w:pPr>
      <w:r>
        <w:rPr>
          <w:rFonts w:ascii="Noto Sans" w:hAnsi="Noto Sans" w:eastAsia="Arial Unicode MS" w:cs="Noto Sans"/>
          <w:b w:val="0"/>
        </w:rPr>
        <w:t>Os aplicativos, o site e o jogo podem usar componentes de código aberto separadamente. Os avisos acompanham os componentes na versão efetivamente distribuída; essas licenças não concedem à DAWNBLOOM direitos sobre conteúdo de terceiros não relacionado.</w:t>
      </w:r>
    </w:p>
    <w:p>
      <w:pPr>
        <w:keepLines w:val="0"/>
      </w:pPr>
      <w:r>
        <w:rPr>
          <w:rFonts w:ascii="Noto Sans" w:hAnsi="Noto Sans" w:eastAsia="Arial Unicode MS" w:cs="Noto Sans"/>
          <w:b w:val="0"/>
        </w:rPr>
        <w:t>No lançamento oficial, o operador deve manter uma página de Avisos de Código Aberto/Divulgação de Software de Código Aberto ou incluir uma lista de licenças na distribuição do software, cumprindo as obrigações exigidas pelas licenças MIT, Apache, BSD, OFL, LGPL/GPL ou qualquer outra licença realmente utilizada.</w:t>
      </w:r>
    </w:p>
    <w:p>
      <w:pPr>
        <w:keepLines w:val="0"/>
      </w:pPr>
      <w:r>
        <w:rPr>
          <w:rFonts w:ascii="Noto Sans" w:hAnsi="Noto Sans" w:eastAsia="Arial Unicode MS" w:cs="Noto Sans"/>
          <w:b w:val="0"/>
        </w:rPr>
        <w:t>Projetos de código aberto de terceiros, autores, fundações ou detentores de direitos não serão automaticamente considerados patrocinadores, parceiros, certificadoras ou endossantes da DAWNBLOOM meramente porque sua tecnologia é utilizada.</w:t>
      </w:r>
    </w:p>
    <w:p>
      <w:pPr>
        <w:pStyle w:val="Heading1"/>
        <w:keepLines w:val="0"/>
      </w:pPr>
      <w:r>
        <w:rPr>
          <w:rFonts w:ascii="Noto Sans" w:hAnsi="Noto Sans" w:eastAsia="Arial Unicode MS" w:cs="Noto Sans"/>
          <w:b w:val="0"/>
        </w:rPr>
        <w:t>9. Links Externos, Serviços de Terceiros e Precisão do Conteúdo</w:t>
      </w:r>
    </w:p>
    <w:p>
      <w:pPr>
        <w:keepLines w:val="0"/>
      </w:pPr>
      <w:r>
        <w:rPr>
          <w:rFonts w:ascii="Noto Sans" w:hAnsi="Noto Sans" w:eastAsia="Arial Unicode MS" w:cs="Noto Sans"/>
          <w:b w:val="0"/>
        </w:rPr>
        <w:t>O site oficial pode incluir links para Steam, App Store, plataformas de mídia social, serviços de pagamento, plataformas de suporte ao cliente ou outros serviços de terceiros. Sites e serviços de terceiros são operados independentemente por suas respectivas entidades, e a DAWNBLOOM não pode controlar sua disponibilidade, conteúdo, práticas de privacidade, restrições regionais, termos de serviço ou alterações de política.</w:t>
      </w:r>
    </w:p>
    <w:p>
      <w:pPr>
        <w:keepLines w:val="0"/>
      </w:pPr>
      <w:r>
        <w:rPr>
          <w:rFonts w:ascii="Noto Sans" w:hAnsi="Noto Sans" w:eastAsia="Arial Unicode MS" w:cs="Noto Sans"/>
          <w:b w:val="0"/>
        </w:rPr>
        <w:t>Fontes de notícias, sites externos, provedores de e-mail e lojas de aplicativos controlam seu próprio conteúdo, contas e termos. Os links oficiais para o software são publicados em dawnbloom.net ou em lojas explicitamente vinculadas a partir dele.</w:t>
      </w:r>
    </w:p>
    <w:p>
      <w:pPr>
        <w:keepLines w:val="0"/>
      </w:pPr>
      <w:r>
        <w:rPr>
          <w:rFonts w:ascii="Noto Sans" w:hAnsi="Noto Sans" w:eastAsia="Arial Unicode MS" w:cs="Noto Sans"/>
          <w:b w:val="0"/>
        </w:rPr>
        <w:t>O site oficial fará o possível para garantir a precisão de anúncios, guias, instruções de download, informações de compatibilidade e outros conteúdos publicamente disponíveis, mas o jogo continuará sendo desenvolvido e atualizado. Capturas de tela, arte conceitual, recursos de teste, suporte de plataforma planejado e conteúdo ainda não lançado oficialmente podem ser ajustados, adiados ou cancelados com base no progresso real do desenvolvimento. Exceto quando exigido por lei ou onde uma página constitua explicitamente um compromisso de produto ou serviço, o conteúdo exibido durante a fase de desenvolvimento não constitui garantia irrevogável para versões futuras.</w:t>
      </w:r>
    </w:p>
    <w:p>
      <w:pPr>
        <w:keepLines w:val="0"/>
      </w:pPr>
      <w:r>
        <w:rPr>
          <w:rFonts w:ascii="Noto Sans" w:hAnsi="Noto Sans" w:eastAsia="Arial Unicode MS" w:cs="Noto Sans"/>
          <w:b w:val="0"/>
        </w:rPr>
        <w:t>Publicações, comentários, guias e outros conteúdos gerados por usuários (CGU) postados por jogadores no DAWNBLOOM Community refletem apenas suas opiniões individuais e não necessariamente representam a posição oficial da DAWNBLOOM.</w:t>
      </w:r>
    </w:p>
    <w:p>
      <w:pPr>
        <w:pStyle w:val="Heading1"/>
        <w:keepLines w:val="0"/>
      </w:pPr>
      <w:r>
        <w:rPr>
          <w:rFonts w:ascii="Noto Sans" w:hAnsi="Noto Sans" w:eastAsia="Arial Unicode MS" w:cs="Noto Sans"/>
          <w:b w:val="0"/>
        </w:rPr>
        <w:t>10. Guia do Dawnbloom e Serviços de IA para Jogadores</w:t>
      </w:r>
    </w:p>
    <w:p>
      <w:pPr>
        <w:keepLines w:val="0"/>
      </w:pPr>
      <w:r>
        <w:rPr>
          <w:rFonts w:ascii="Noto Sans" w:hAnsi="Noto Sans" w:eastAsia="Arial Unicode MS" w:cs="Noto Sans"/>
          <w:b w:val="0"/>
        </w:rPr>
        <w:t>DAWNBLOOM AI é a marca do sistema de interação inteligente e dos serviços tecnológicos da empresa, e DAWNBLOOM Fairy é o companheiro inteligente e a representação de interação voltados aos usuários no mesmo conjunto de serviços. DAWNBLOOM AI 2.0 identifica a versão pública desse conjunto de serviços inteligentes e não significa que a empresa tenha treinado de forma independente um modelo de linguagem de grande porte de base. “DAWNBLOOM Fairy” é o assistente inteligente de jogo e o acesso aos serviços de IA para jogadores oferecidos pelo DAWNBLOOM. Ele pode responder a perguntas sobre mecânicas de jogo, missões, classes, criaturas fantásticas, mapas, eventos e guias visíveis aos jogadores, além de auxiliar no tratamento ou orientar o tratamento de questões como segurança da conta, ativos do jogo, pedidos de recarga, estados anormais e chamados de atendimento. O serviço limita-se a perguntas e respostas sobre informações públicas do jogo e dos produtos, comunicação textual em linguagem natural, orientação sobre serviços aos jogadores e funcionalidades de interface do Intelligent UI efetivamente disponibilizadas; o suporte a idiomas do site oficial não amplia os idiomas do cliente do jogo nem os de cada um dos seis softwares. Atualmente, não são oferecidas geração ou edição de imagens, criação de PDF, Word, apresentações ou planilhas, nem automação geral de tarefas de escritório.</w:t>
      </w:r>
    </w:p>
    <w:p>
      <w:pPr>
        <w:keepLines w:val="0"/>
      </w:pPr>
      <w:r>
        <w:rPr>
          <w:rFonts w:ascii="Noto Sans" w:hAnsi="Noto Sans" w:eastAsia="Arial Unicode MS" w:cs="Noto Sans"/>
          <w:b w:val="0"/>
        </w:rPr>
        <w:t>O DAWNBLOOM Guide pode auxiliar os jogadores com ou orientá-los na resolução de questões, incluindo, mas não se limitando a:</w:t>
      </w:r>
    </w:p>
    <w:p>
      <w:pPr>
        <w:pStyle w:val="ListBullet"/>
        <w:keepLines w:val="0"/>
      </w:pPr>
      <w:r>
        <w:rPr>
          <w:rFonts w:ascii="Noto Sans" w:hAnsi="Noto Sans" w:eastAsia="Arial Unicode MS" w:cs="Noto Sans"/>
          <w:b w:val="0"/>
        </w:rPr>
        <w:t>Mecânicas do jogo, progresso de missões, desenvolvimento de carreira, cultivo de bestas fantasmas, exploração de mapas, regras de eventos e estratégias de jogo;</w:t>
      </w:r>
    </w:p>
    <w:p>
      <w:pPr>
        <w:pStyle w:val="ListBullet"/>
        <w:keepLines w:val="0"/>
      </w:pPr>
      <w:r>
        <w:rPr>
          <w:rFonts w:ascii="Noto Sans" w:hAnsi="Noto Sans" w:eastAsia="Arial Unicode MS" w:cs="Noto Sans"/>
          <w:b w:val="0"/>
        </w:rPr>
        <w:t>Anomalias no login da conta, senhas esquecidas, verificação por e-mail ou número de telefone, riscos de segurança da conta e suspeita de roubo de conta;</w:t>
      </w:r>
    </w:p>
    <w:p>
      <w:pPr>
        <w:pStyle w:val="ListBullet"/>
        <w:keepLines w:val="0"/>
      </w:pPr>
      <w:r>
        <w:rPr>
          <w:rFonts w:ascii="Noto Sans" w:hAnsi="Noto Sans" w:eastAsia="Arial Unicode MS" w:cs="Noto Sans"/>
          <w:b w:val="0"/>
        </w:rPr>
        <w:t>Perda, discrepâncias de quantidade ou anomalias de status de personagens, itens, equipamentos, bestas fantasmas, moedas de ouro ou moedas mágicas;</w:t>
      </w:r>
    </w:p>
    <w:p>
      <w:pPr>
        <w:pStyle w:val="ListBullet"/>
        <w:keepLines w:val="0"/>
      </w:pPr>
      <w:r>
        <w:rPr>
          <w:rFonts w:ascii="Noto Sans" w:hAnsi="Noto Sans" w:eastAsia="Arial Unicode MS" w:cs="Noto Sans"/>
          <w:b w:val="0"/>
        </w:rPr>
        <w:t>Consumos anormais, ganhos anormais, anomalias em transações, recompensas não recebidas, anomalias em recompensas de eventos ou anomalias em mensagens ou sistemas de comunicação;</w:t>
      </w:r>
    </w:p>
    <w:p>
      <w:pPr>
        <w:pStyle w:val="ListBullet"/>
        <w:keepLines w:val="0"/>
      </w:pPr>
      <w:r>
        <w:rPr>
          <w:rFonts w:ascii="Noto Sans" w:hAnsi="Noto Sans" w:eastAsia="Arial Unicode MS" w:cs="Noto Sans"/>
          <w:b w:val="0"/>
        </w:rPr>
        <w:t>Recargas, pedidos, compras em loja, trocas e questões relacionadas à entrega ou confirmação;</w:t>
      </w:r>
    </w:p>
    <w:p>
      <w:pPr>
        <w:pStyle w:val="ListBullet"/>
        <w:keepLines w:val="0"/>
      </w:pPr>
      <w:r>
        <w:rPr>
          <w:rFonts w:ascii="Noto Sans" w:hAnsi="Noto Sans" w:eastAsia="Arial Unicode MS" w:cs="Noto Sans"/>
          <w:b w:val="0"/>
        </w:rPr>
        <w:t>Feedback sobre bugs do jogo, falhas funcionais, travamentos, desconexões ou dessincronização de dados;</w:t>
      </w:r>
    </w:p>
    <w:p>
      <w:pPr>
        <w:pStyle w:val="ListBullet"/>
        <w:keepLines w:val="0"/>
      </w:pPr>
      <w:r>
        <w:rPr>
          <w:rFonts w:ascii="Noto Sans" w:hAnsi="Noto Sans" w:eastAsia="Arial Unicode MS" w:cs="Noto Sans"/>
          <w:b w:val="0"/>
        </w:rPr>
        <w:t>Recursos por perda de personagens, itens, bestas fantasmas e moeda decorrentes de roubo de conta;</w:t>
      </w:r>
    </w:p>
    <w:p>
      <w:pPr>
        <w:pStyle w:val="ListBullet"/>
        <w:keepLines w:val="0"/>
      </w:pPr>
      <w:r>
        <w:rPr>
          <w:rFonts w:ascii="Noto Sans" w:hAnsi="Noto Sans" w:eastAsia="Arial Unicode MS" w:cs="Noto Sans"/>
          <w:b w:val="0"/>
        </w:rPr>
        <w:t>Orientação para consultas e recursos sobre banimentos de conta, restrições ou outros estados anormais;</w:t>
      </w:r>
    </w:p>
    <w:p>
      <w:pPr>
        <w:pStyle w:val="ListBullet"/>
        <w:keepLines w:val="0"/>
      </w:pPr>
      <w:r>
        <w:rPr>
          <w:rFonts w:ascii="Noto Sans" w:hAnsi="Noto Sans" w:eastAsia="Arial Unicode MS" w:cs="Noto Sans"/>
          <w:b w:val="0"/>
        </w:rPr>
        <w:t>Outras questões que necessitem de assistência do centro de suporte ao jogador.</w:t>
      </w:r>
    </w:p>
    <w:p>
      <w:pPr>
        <w:keepLines w:val="0"/>
      </w:pPr>
      <w:r>
        <w:rPr>
          <w:rFonts w:ascii="Noto Sans" w:hAnsi="Noto Sans" w:eastAsia="Arial Unicode MS" w:cs="Noto Sans"/>
          <w:b w:val="0"/>
        </w:rPr>
        <w:t>Para questões que possam ser avaliadas diretamente com base em materiais públicos, o DAWNBLOOM Fairy pode fornecer respostas imediatas ou orientações para solução; para questões que exijam a verificação de dados dos servidores, como segurança da conta, registros de transações, ativos do jogo, recuperação de dados, perdas por furto de conta ou recursos contra penalidades, o DAWNBLOOM Fairy pode auxiliar na verificação de identidade, na organização das informações necessárias, na elaboração do fluxo de tratamento, na abertura ou no encaminhamento de chamados oficiais e na verificação com base em registros dos servidores, logs de operações e outros dados confiáveis. O Intelligent UI combina respostas com cartões de informações interativos, acessos a funcionalidades e interfaces de confirmação. Informações sobre criaturas fantásticas, equipamentos, itens, registros pessoais do jogo e segurança da conta são fornecidas apenas quando a funcionalidade estiver disponível, houver autorização legítima do próprio titular e o backend confirmar a identidade e as permissões correspondentes, dentro desses limites. O aparecimento de uma resposta de IA, cartão ou botão não significa que a operação tenha sido executada; operações sensíveis devem passar pela verificação oficial e pelas confirmações necessárias, prevalecendo o resultado do sistema. É proibido contornar o sistema de permissões para alterar dados de jogadores ou acessar informações não públicas de terceiros.</w:t>
      </w:r>
    </w:p>
    <w:p>
      <w:pPr>
        <w:keepLines w:val="0"/>
      </w:pPr>
      <w:r>
        <w:rPr>
          <w:rFonts w:ascii="Noto Sans" w:hAnsi="Noto Sans" w:eastAsia="Arial Unicode MS" w:cs="Noto Sans"/>
          <w:b w:val="0"/>
        </w:rPr>
        <w:t>O DAWNBLOOM Guide não modificará diretamente ativos do jogo ou dados de backend apenas mediante solicitação do jogador. Questões envolvendo restauração de itens, restauração de bestas fantasmas, moedas de ouro ou mágicas anormais, perdas por roubo, disputas de transações, emissão de recompensas ou penalizações de conta devem ser tratadas com base em registros reais, permissões baseadas em regras e procedimentos de revisão necessários. Para proteger a segurança da conta, o DAWNBLOOM Guide nunca solicitará aos jogadores que forneçam senhas de conta ou códigos de verificação únicos completos. Para operações de conta de alto risco, mecanismos oficiais de verificação de identidade ainda serão exigidos para confirmação.</w:t>
      </w:r>
    </w:p>
    <w:p>
      <w:pPr>
        <w:keepLines w:val="0"/>
      </w:pPr>
      <w:r>
        <w:rPr>
          <w:rFonts w:ascii="Noto Sans" w:hAnsi="Noto Sans" w:eastAsia="Arial Unicode MS" w:cs="Noto Sans"/>
          <w:b w:val="0"/>
        </w:rPr>
        <w:t>A DAWNBLOOM não divulgará campos do backend, fórmulas de cálculo internas, probabilidades não anunciadas, multiplicadores internos, estratégias de segurança, métodos de exploração de vulnerabilidades, documentos de planejamento não publicados, informações de administrador ou qualquer outro dado não público aos jogadores. O sistema de IA pode apresentar erros de compreensão, atraso na informação ou expressão incompleta; se alguma resposta do Dawnbloom Guide conflitar com anúncios oficiais, páginas de produto, Política de privacidade, Regras do jogador e política de aplicação, Termos de Venda e Reembolso, dados oficialmente verificados ou resultados revisados manualmente prevalecerão sobre os anteriores.</w:t>
      </w:r>
    </w:p>
    <w:p>
      <w:pPr>
        <w:keepLines w:val="0"/>
      </w:pPr>
      <w:r>
        <w:rPr>
          <w:rFonts w:ascii="Noto Sans" w:hAnsi="Noto Sans" w:eastAsia="Arial Unicode MS" w:cs="Noto Sans"/>
          <w:b w:val="0"/>
        </w:rPr>
        <w:t>A integração técnica utiliza os recursos do Qwen disponibilizados pelo Alibaba Cloud Model Studio; a conexão ao modelo utiliza um endpoint da região de Tóquio, Japão. A região do endpoint não significa que todos os dados dos usuários sejam tratados exclusivamente no Japão nem substitui a verificação dos contratos de serviço efetivos, dos registros do prestador, dos controles de treinamento, das configurações de retenção e das obrigações relativas a transferências internacionais. O OpenAI Codex participa da construção da base de conhecimento, do desenvolvimento de funcionalidades, do design de interação e da melhoria contínua; isso não lhe confere automaticamente acesso aos dados de conversas dos usuários nem significa que tenha treinado o modelo de base Qwen.</w:t>
      </w:r>
    </w:p>
    <w:p>
      <w:pPr>
        <w:pStyle w:val="Heading1"/>
        <w:keepLines w:val="0"/>
      </w:pPr>
      <w:r>
        <w:rPr>
          <w:rFonts w:ascii="Noto Sans" w:hAnsi="Noto Sans" w:eastAsia="Arial Unicode MS" w:cs="Noto Sans"/>
          <w:b w:val="0"/>
        </w:rPr>
        <w:t>11. Vulnerabilidades de Segurança, Avisos Legais e Solicitações das Autoridades Policiais</w:t>
      </w:r>
    </w:p>
    <w:p>
      <w:pPr>
        <w:keepLines w:val="0"/>
      </w:pPr>
      <w:r>
        <w:rPr>
          <w:rFonts w:ascii="Noto Sans" w:hAnsi="Noto Sans" w:eastAsia="Arial Unicode MS" w:cs="Noto Sans"/>
          <w:b w:val="0"/>
        </w:rPr>
        <w:t xml:space="preserve">Se você descobrir vulnerabilidades no site oficial, no sistema de contas, na DAWNBLOOM Community, no atendimento ao cliente com IA ou nos serviços do jogo que possam colocar em risco a segurança das contas, dados ou serviços dos jogadores, recomendamos que as divulgue de forma responsável através de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ou do suporte oficial ao cliente. Não divulgue publicamente detalhes de exploração, métodos para copiar itens, scripts de ataque, credenciais de login, informações pessoais de terceiros ou dados internos do back-end que possam ser imediatamente mal utilizados.</w:t>
      </w:r>
    </w:p>
    <w:p>
      <w:pPr>
        <w:keepLines w:val="0"/>
      </w:pPr>
      <w:r>
        <w:rPr>
          <w:rFonts w:ascii="Noto Sans" w:hAnsi="Noto Sans" w:eastAsia="Arial Unicode MS" w:cs="Noto Sans"/>
          <w:b w:val="0"/>
        </w:rPr>
        <w:t>Solicitações de retenção, divulgação, exclusão, bloqueio ou assistência enviadas por tribunais, órgãos reguladores, agências de aplicação da lei ou outras entidades legalmente autorizadas serão revisadas e processadas com base nas leis aplicáveis, na autoridade da solicitação, na autenticidade e na necessidade. Os limites para a divulgação e retenção de informações pessoais estão especificados na Política de Privacidade.</w:t>
      </w:r>
    </w:p>
    <w:p>
      <w:pPr>
        <w:pStyle w:val="Heading1"/>
        <w:keepLines w:val="0"/>
      </w:pPr>
      <w:r>
        <w:rPr>
          <w:rFonts w:ascii="Noto Sans" w:hAnsi="Noto Sans" w:eastAsia="Arial Unicode MS" w:cs="Noto Sans"/>
          <w:b w:val="0"/>
        </w:rPr>
        <w:t>12. Índice de Informações Legais Regionais</w:t>
      </w:r>
    </w:p>
    <w:p>
      <w:pPr>
        <w:keepLines w:val="0"/>
      </w:pPr>
      <w:r>
        <w:rPr>
          <w:rFonts w:ascii="Noto Sans" w:hAnsi="Noto Sans" w:eastAsia="Arial Unicode MS" w:cs="Noto Sans"/>
          <w:b w:val="0"/>
        </w:rPr>
        <w:t>Esta página serve como ponto de entrada geral para informações legais e não substitui as divulgações estatutárias obrigatórias exigidas pelas jurisdições aplicáveis. Se houver mudanças relacionadas à entidade operadora, localização do servidor, método de processamento de pagamento, informações do vendedor, modelo de UGC do fórum ou políticas da loja de aplicativos, as páginas legais correspondentes serão atualizadas conforme o necessário.</w:t>
      </w:r>
    </w:p>
    <w:p>
      <w:pPr>
        <w:pStyle w:val="Heading1"/>
        <w:keepLines w:val="0"/>
      </w:pPr>
      <w:r>
        <w:rPr>
          <w:rFonts w:ascii="Noto Sans" w:hAnsi="Noto Sans" w:eastAsia="Arial Unicode MS" w:cs="Noto Sans"/>
          <w:b w:val="0"/>
        </w:rPr>
        <w:t>13. Entre em contato conosco</w:t>
      </w:r>
    </w:p>
    <w:p>
      <w:pPr>
        <w:keepLines w:val="0"/>
      </w:pPr>
      <w:r>
        <w:rPr>
          <w:rFonts w:ascii="Noto Sans" w:hAnsi="Noto Sans" w:eastAsia="Arial Unicode MS" w:cs="Noto Sans"/>
          <w:b w:val="0"/>
        </w:rPr>
        <w:t xml:space="preserve">Suporte geral aos jogadores: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dúvidas jurídicas, direitos autorais e privacidade: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vulnerabilidades de segurança e incidentes de segurança: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mídia e cooperação comercial: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Os domínios oficiais e entradas regionais são identificados na seção 1; os domínios de proteção de marca existentes estão listados no Aviso Atual de Canais Oficiais e Antifraude. A conta DAWNBLOOM e DAWNBLOOM Community permanecem como parte do mesmo serviço, e os endereços de e-mail oficiais usam @dawnbloom.net.</w:t>
      </w:r>
    </w:p>
    <w:p>
      <w:pPr>
        <w:keepLines w:val="0"/>
      </w:pPr>
      <w:r>
        <w:rPr>
          <w:rFonts w:ascii="Noto Sans" w:hAnsi="Noto Sans" w:eastAsia="Arial Unicode MS" w:cs="Noto Sans"/>
          <w:b w:val="0"/>
        </w:rPr>
        <w:t>Operador / provedor de serviços do site: Shanghai Zhuiguang Zhichuang Cultural Media Co., Ltd. (nome público em inglês: SHANGHAI LUMIREALM CREATIVE MEDIA CO., LTD.)</w:t>
      </w:r>
    </w:p>
    <w:p>
      <w:pPr>
        <w:keepLines w:val="0"/>
      </w:pPr>
      <w:r>
        <w:rPr>
          <w:rFonts w:ascii="Noto Sans" w:hAnsi="Noto Sans" w:eastAsia="Arial Unicode MS" w:cs="Noto Sans"/>
          <w:b w:val="0"/>
        </w:rPr>
        <w:t>Endereço de operações / Endereço oficial de contato: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Informações Legais e Avisos da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