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Termos de Uso do DAWNBLOOM AI</w:t>
      </w:r>
    </w:p>
    <w:p>
      <w:pPr>
        <w:keepLines w:val="0"/>
      </w:pPr>
      <w:r>
        <w:rPr>
          <w:rFonts w:ascii="Noto Sans" w:hAnsi="Noto Sans" w:eastAsia="Noto Sans TC" w:cs="Noto Sans"/>
          <w:b w:val="0"/>
        </w:rPr>
        <w:t>Versão: V8</w:t>
      </w:r>
    </w:p>
    <w:p>
      <w:pPr>
        <w:keepLines w:val="0"/>
      </w:pPr>
      <w:r>
        <w:rPr>
          <w:rFonts w:ascii="Noto Sans" w:hAnsi="Noto Sans" w:eastAsia="Noto Sans TC" w:cs="Noto Sans"/>
          <w:b w:val="0"/>
        </w:rPr>
        <w:t>Data de revisão: 10 de outubro de 2026</w:t>
      </w:r>
    </w:p>
    <w:p>
      <w:pPr>
        <w:keepLines w:val="0"/>
      </w:pPr>
      <w:r>
        <w:rPr>
          <w:rFonts w:ascii="Noto Sans" w:hAnsi="Noto Sans" w:eastAsia="Noto Sans TC" w:cs="Noto Sans"/>
          <w:b w:val="0"/>
        </w:rPr>
        <w:t>Data de entrada em vigor: 10 de outubro de 2026</w:t>
      </w:r>
    </w:p>
    <w:p>
      <w:pPr>
        <w:keepLines w:val="0"/>
      </w:pPr>
      <w:r>
        <w:rPr>
          <w:rFonts w:ascii="Noto Sans" w:hAnsi="Noto Sans" w:eastAsia="Noto Sans TC" w:cs="Noto Sans"/>
          <w:b w:val="0"/>
        </w:rPr>
        <w:t>Prestadora: 上海追光智创文化传媒有限公司</w:t>
      </w:r>
    </w:p>
    <w:p>
      <w:pPr>
        <w:pStyle w:val="Heading1"/>
        <w:keepLines w:val="0"/>
      </w:pPr>
      <w:r>
        <w:rPr>
          <w:rFonts w:ascii="Noto Sans" w:hAnsi="Noto Sans" w:eastAsia="Noto Sans TC" w:cs="Noto Sans"/>
          <w:b w:val="0"/>
        </w:rPr>
        <w:t>1. Prestadora, denominação e âmbito de aplicação</w:t>
      </w:r>
    </w:p>
    <w:p>
      <w:pPr>
        <w:keepLines w:val="0"/>
      </w:pPr>
      <w:r>
        <w:rPr>
          <w:rFonts w:ascii="Noto Sans" w:hAnsi="Noto Sans" w:eastAsia="Noto Sans TC" w:cs="Noto Sans"/>
          <w:b w:val="0"/>
        </w:rPr>
        <w:t>上海追光智创文化传媒有限公司 presta este serviço. DAWNBLOOM AI é a marca do sistema de interação inteligente e dos serviços tecnológicos da empresa, e DAWNBLOOM Fairy é o companheiro inteligente e a representação de interação voltados aos usuários no mesmo conjunto de serviços. DAWNBLOOM AI 2.0 identifica a versão pública desse conjunto de serviços inteligentes e não significa que a empresa tenha treinado de forma independente um modelo de linguagem de grande porte de base. Estes termos aplicam-se em conjunto com os Termos de Serviço DAWNBLOOM, a Política de Privacidade, o Código de Conduta dos Jogadores e outras políticas aplicáveis; tratam apenas de questões específicas dos serviços inteligentes e não reduzem direitos previstos em lei.</w:t>
      </w:r>
    </w:p>
    <w:p>
      <w:pPr>
        <w:pStyle w:val="Heading1"/>
        <w:keepLines w:val="0"/>
      </w:pPr>
      <w:r>
        <w:rPr>
          <w:rFonts w:ascii="Noto Sans" w:hAnsi="Noto Sans" w:eastAsia="Noto Sans TC" w:cs="Noto Sans"/>
          <w:b w:val="0"/>
        </w:rPr>
        <w:t>2. Conteúdo do serviço e limites de idiomas</w:t>
      </w:r>
    </w:p>
    <w:p>
      <w:pPr>
        <w:keepLines w:val="0"/>
      </w:pPr>
      <w:r>
        <w:rPr>
          <w:rFonts w:ascii="Noto Sans" w:hAnsi="Noto Sans" w:eastAsia="Noto Sans TC" w:cs="Noto Sans"/>
          <w:b w:val="0"/>
        </w:rPr>
        <w:t>O serviço limita-se a perguntas e respostas sobre informações públicas do jogo e dos produtos, comunicação textual em linguagem natural, orientação sobre serviços aos jogadores e funcionalidades de interface do Intelligent UI efetivamente disponibilizadas; o suporte a idiomas do site oficial não amplia os idiomas do cliente do jogo nem os de cada um dos seis softwares. Atualmente, não são oferecidas geração ou edição de imagens, criação de PDF, Word, apresentações ou planilhas, nem automação geral de tarefas de escritório. A versão do site oficial integra o conjunto de 20 idiomas do site; no jogo, permanecem apenas os quatro idiomas: chinês, inglês, japonês e coreano. O suporte a um idioma não significa a oferta de atendimento humano ou de orientação jurídica profissional nesse idioma.</w:t>
      </w:r>
    </w:p>
    <w:p>
      <w:pPr>
        <w:pStyle w:val="Heading1"/>
        <w:keepLines w:val="0"/>
      </w:pPr>
      <w:r>
        <w:rPr>
          <w:rFonts w:ascii="Noto Sans" w:hAnsi="Noto Sans" w:eastAsia="Noto Sans TC" w:cs="Noto Sans"/>
          <w:b w:val="0"/>
        </w:rPr>
        <w:t>3. Conhecimento público e informações protegidas</w:t>
      </w:r>
    </w:p>
    <w:p>
      <w:pPr>
        <w:keepLines w:val="0"/>
      </w:pPr>
      <w:r>
        <w:rPr>
          <w:rFonts w:ascii="Noto Sans" w:hAnsi="Noto Sans" w:eastAsia="Noto Sans TC" w:cs="Noto Sans"/>
          <w:b w:val="0"/>
        </w:rPr>
        <w:t>As perguntas e respostas sobre conhecimento limitam-se a materiais do jogo, dos produtos e do atendimento cuja divulgação pública tenha sido autorizada. Enredos, missões, mapas, probabilidades, fórmulas, planejamento interno, informações de GM, medidas de segurança e materiais sobre exploração de vulnerabilidades que não tenham sido divulgados não são disponibilizados aos usuários. É proibido utilizar as perguntas e respostas para extrair materiais protegidos.</w:t>
      </w:r>
    </w:p>
    <w:p>
      <w:pPr>
        <w:pStyle w:val="Heading1"/>
        <w:keepLines w:val="0"/>
      </w:pPr>
      <w:r>
        <w:rPr>
          <w:rFonts w:ascii="Noto Sans" w:hAnsi="Noto Sans" w:eastAsia="Noto Sans TC" w:cs="Noto Sans"/>
          <w:b w:val="0"/>
        </w:rPr>
        <w:t>4. Intelligent UI e confirmação do usuário</w:t>
      </w:r>
    </w:p>
    <w:p>
      <w:pPr>
        <w:keepLines w:val="0"/>
      </w:pPr>
      <w:r>
        <w:rPr>
          <w:rFonts w:ascii="Noto Sans" w:hAnsi="Noto Sans" w:eastAsia="Noto Sans TC" w:cs="Noto Sans"/>
          <w:b w:val="0"/>
        </w:rPr>
        <w:t>O Intelligent UI combina respostas com cartões de informações interativos, acessos a funcionalidades e interfaces de confirmação. Informações sobre criaturas fantásticas, equipamentos, itens, registros pessoais do jogo e segurança da conta são fornecidas apenas quando a funcionalidade estiver disponível, houver autorização legítima do próprio titular e o sistema de backend confirmar a identidade e as permissões correspondentes, dentro desses limites. O aparecimento de uma resposta de IA, cartão ou botão não significa que a operação tenha sido executada; operações sensíveis devem passar pela verificação oficial e pelas confirmações necessárias, prevalecendo o resultado do sistema. É proibido contornar o sistema de permissões para alterar dados de jogadores ou acessar informações não públicas de terceiros. Dados de demonstração claramente identificados não são registros do próprio usuário nem comprovam o êxito de uma consulta ou operação real.</w:t>
      </w:r>
    </w:p>
    <w:p>
      <w:pPr>
        <w:pStyle w:val="Heading1"/>
        <w:keepLines w:val="0"/>
      </w:pPr>
      <w:r>
        <w:rPr>
          <w:rFonts w:ascii="Noto Sans" w:hAnsi="Noto Sans" w:eastAsia="Noto Sans TC" w:cs="Noto Sans"/>
          <w:b w:val="0"/>
        </w:rPr>
        <w:t>5. Precisão das respostas e verificação de informações importantes</w:t>
      </w:r>
    </w:p>
    <w:p>
      <w:pPr>
        <w:keepLines w:val="0"/>
      </w:pPr>
      <w:r>
        <w:rPr>
          <w:rFonts w:ascii="Noto Sans" w:hAnsi="Noto Sans" w:eastAsia="Noto Sans TC" w:cs="Noto Sans"/>
          <w:b w:val="0"/>
        </w:rPr>
        <w:t xml:space="preserve">As respostas de IA podem conter erros de interpretação, omissões ou informações desatualizadas e não substituem comunicados oficiais, regras do jogo, condições de produtos e reembolsos, registros verificados mediante autorização ou resultados de revisão humana. Os usuários devem verificar de forma independente informações importantes e podem comunicar erros ou apresentar recursos pelo endereço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recomendações de IA não alteram, por si só, direitos existentes dos usuários nem meios de proteção previstos em lei. A IA não emite decisões definitivas sobre questões jurídicas, médicas, financeiras ou outras questões profissionais.</w:t>
      </w:r>
    </w:p>
    <w:p>
      <w:pPr>
        <w:pStyle w:val="Heading1"/>
        <w:keepLines w:val="0"/>
      </w:pPr>
      <w:r>
        <w:rPr>
          <w:rFonts w:ascii="Noto Sans" w:hAnsi="Noto Sans" w:eastAsia="Noto Sans TC" w:cs="Noto Sans"/>
          <w:b w:val="0"/>
        </w:rPr>
        <w:t>6. Direitos e responsabilidades sobre entradas e saídas</w:t>
      </w:r>
    </w:p>
    <w:p>
      <w:pPr>
        <w:keepLines w:val="0"/>
      </w:pPr>
      <w:r>
        <w:rPr>
          <w:rFonts w:ascii="Noto Sans" w:hAnsi="Noto Sans" w:eastAsia="Noto Sans TC" w:cs="Noto Sans"/>
          <w:b w:val="0"/>
        </w:rPr>
        <w:t>O usuário deve ter o direito de fornecer o conteúdo de entrada e não deve enviar informações que violem direitos de terceiros ou a lei. O usuário é responsável pela legalidade do uso e da divulgação das saídas e pelas verificações necessárias. A geração de respostas pela empresa não concede direitos sobre obras, marcas ou dados pessoais de terceiros; estes termos não excluem os direitos que o usuário tenha legalmente sobre as saídas nem outros direitos previstos em lei.</w:t>
      </w:r>
    </w:p>
    <w:p>
      <w:pPr>
        <w:pStyle w:val="Heading1"/>
        <w:keepLines w:val="0"/>
      </w:pPr>
      <w:r>
        <w:rPr>
          <w:rFonts w:ascii="Noto Sans" w:hAnsi="Noto Sans" w:eastAsia="Noto Sans TC" w:cs="Noto Sans"/>
          <w:b w:val="0"/>
        </w:rPr>
        <w:t>7. Uso seguro e proibição de abuso</w:t>
      </w:r>
    </w:p>
    <w:p>
      <w:pPr>
        <w:keepLines w:val="0"/>
      </w:pPr>
      <w:r>
        <w:rPr>
          <w:rFonts w:ascii="Noto Sans" w:hAnsi="Noto Sans" w:eastAsia="Noto Sans TC" w:cs="Noto Sans"/>
          <w:b w:val="0"/>
        </w:rPr>
        <w:t>É proibido realizar ataques, efetuar requisições massivas maliciosas, usar indevidamente a identidade de terceiros, contornar códigos de verificação ou permissões, enviar instruções maliciosas, subtrair conteúdo não público ou fabricar falsas promessas oficiais. Não forneça senhas, códigos completos de verificação de uso único, senhas de pagamento, tokens ou outras informações sensíveis desnecessárias.</w:t>
      </w:r>
    </w:p>
    <w:p>
      <w:pPr>
        <w:pStyle w:val="Heading1"/>
        <w:keepLines w:val="0"/>
      </w:pPr>
      <w:r>
        <w:rPr>
          <w:rFonts w:ascii="Noto Sans" w:hAnsi="Noto Sans" w:eastAsia="Noto Sans TC" w:cs="Noto Sans"/>
          <w:b w:val="0"/>
        </w:rPr>
        <w:t>8. Dados da conta e operações no jogo</w:t>
      </w:r>
    </w:p>
    <w:p>
      <w:pPr>
        <w:keepLines w:val="0"/>
      </w:pPr>
      <w:r>
        <w:rPr>
          <w:rFonts w:ascii="Noto Sans" w:hAnsi="Noto Sans" w:eastAsia="Noto Sans TC" w:cs="Noto Sans"/>
          <w:b w:val="0"/>
        </w:rPr>
        <w:t>Criaturas fantásticas, equipamentos, itens, ativos e registros pessoais só podem ser consultados nos limites da autorização legítima do próprio titular e da verificação pelo backend. A IA não recebe permissões de GM nem altera diretamente ativos, penalidades ou mecânicas oficiais do jogo; restaurações, disputas e recursos são verificados pelos procedimentos oficiais.</w:t>
      </w:r>
    </w:p>
    <w:p>
      <w:pPr>
        <w:pStyle w:val="Heading1"/>
        <w:keepLines w:val="0"/>
      </w:pPr>
      <w:r>
        <w:rPr>
          <w:rFonts w:ascii="Noto Sans" w:hAnsi="Noto Sans" w:eastAsia="Noto Sans TC" w:cs="Noto Sans"/>
          <w:b w:val="0"/>
        </w:rPr>
        <w:t>9. Menores de idade</w:t>
      </w:r>
    </w:p>
    <w:p>
      <w:pPr>
        <w:keepLines w:val="0"/>
      </w:pPr>
      <w:r>
        <w:rPr>
          <w:rFonts w:ascii="Noto Sans" w:hAnsi="Noto Sans" w:eastAsia="Noto Sans TC" w:cs="Noto Sans"/>
          <w:b w:val="0"/>
        </w:rPr>
        <w:t>As contas e os serviços do jogo mantêm o requisito de elegibilidade de idade mínima de 18 anos, que não é flexibilizado pelo serviço de IA. O acesso a materiais públicos não constitui permissão para registrar ou utilizar uma conta do jogo. Quando houver informações de menores de idade, serão observadas as exigências de proteção aplicáveis; a conversa com a IA não substitui o consentimento ou a verificação do responsável legal exigidos por lei.</w:t>
      </w:r>
    </w:p>
    <w:p>
      <w:pPr>
        <w:pStyle w:val="Heading1"/>
        <w:keepLines w:val="0"/>
      </w:pPr>
      <w:r>
        <w:rPr>
          <w:rFonts w:ascii="Noto Sans" w:hAnsi="Noto Sans" w:eastAsia="Noto Sans TC" w:cs="Noto Sans"/>
          <w:b w:val="0"/>
        </w:rPr>
        <w:t>10. Modelos de terceiros e tratamento de dados</w:t>
      </w:r>
    </w:p>
    <w:p>
      <w:pPr>
        <w:keepLines w:val="0"/>
      </w:pPr>
      <w:r>
        <w:rPr>
          <w:rFonts w:ascii="Noto Sans" w:hAnsi="Noto Sans" w:eastAsia="Noto Sans TC" w:cs="Noto Sans"/>
          <w:b w:val="0"/>
        </w:rPr>
        <w:t>A integração técnica utiliza os recursos do Qwen disponibilizados pelo Alibaba Cloud Model Studio; a conexão ao modelo utiliza um endpoint da região de Tóquio, Japão. A região do endpoint não significa que todos os dados dos usuários sejam tratados exclusivamente no Japão nem substitui a verificação dos contratos de serviço efetivos, dos registros do prestador, dos controles de treinamento, das configurações de retenção e das obrigações relativas a transferências internacionais. O OpenAI Codex participa da construção da base de conhecimento, do desenvolvimento de funcionalidades, do design de interação e da melhoria contínua; isso não lhe confere automaticamente acesso aos dados de conversas dos usuários nem significa que tenha treinado o modelo de base Qwen. As entradas específicas, o contexto, os registros de serviço, a retenção e os controles de treinamento são regidos pela Política de Privacidade DAWNBLOOM vigente, pelos avisos específicos aplicáveis e pelos contratos de serviço efetivos. O aviso de privacidade específico da IA ainda está em verificação; estes termos não substituem a confirmação dos fatos relativos ao tratamento de dados. O modelo ou o tratamento de dados pessoais correspondente não será disponibilizado antes da conclusão dos avisos, autorizações e verificações de segurança necessários.</w:t>
      </w:r>
    </w:p>
    <w:p>
      <w:pPr>
        <w:pStyle w:val="Heading1"/>
        <w:keepLines w:val="0"/>
      </w:pPr>
      <w:r>
        <w:rPr>
          <w:rFonts w:ascii="Noto Sans" w:hAnsi="Noto Sans" w:eastAsia="Noto Sans TC" w:cs="Noto Sans"/>
          <w:b w:val="0"/>
        </w:rPr>
        <w:t>11. Disponibilidade, incidentes e ajustes do serviço</w:t>
      </w:r>
    </w:p>
    <w:p>
      <w:pPr>
        <w:keepLines w:val="0"/>
      </w:pPr>
      <w:r>
        <w:rPr>
          <w:rFonts w:ascii="Noto Sans" w:hAnsi="Noto Sans" w:eastAsia="Noto Sans TC" w:cs="Noto Sans"/>
          <w:b w:val="0"/>
        </w:rPr>
        <w:t>As funcionalidades efetivas são determinadas pelos acessos disponibilizados e pelo estado oficial do serviço. Manutenção, falhas, incidentes de segurança, limitações de capacidade ou problemas com fornecedores podem restringir parte dos serviços; adotaremos as medidas necessárias e comunicaremos mudanças relevantes pelos canais adequados. Interromper solicitações ao modelo não equivale ao encerramento da conta, e os direitos decorrentes de compras anteriores e os meios de proteção previstos em lei não deixam automaticamente de valer em razão de limitações das funcionalidades de IA.</w:t>
      </w:r>
    </w:p>
    <w:p>
      <w:pPr>
        <w:pStyle w:val="Heading1"/>
        <w:keepLines w:val="0"/>
      </w:pPr>
      <w:r>
        <w:rPr>
          <w:rFonts w:ascii="Noto Sans" w:hAnsi="Noto Sans" w:eastAsia="Noto Sans TC" w:cs="Noto Sans"/>
          <w:b w:val="0"/>
        </w:rPr>
        <w:t>12. Tratamento de infrações, recursos e correção de erros</w:t>
      </w:r>
    </w:p>
    <w:p>
      <w:pPr>
        <w:keepLines w:val="0"/>
      </w:pPr>
      <w:r>
        <w:rPr>
          <w:rFonts w:ascii="Noto Sans" w:hAnsi="Noto Sans" w:eastAsia="Noto Sans TC" w:cs="Noto Sans"/>
          <w:b w:val="0"/>
        </w:rPr>
        <w:t>Conforme o risco efetivo, poderão ser adotadas limitações de requisições, suspensão das funcionalidades inteligentes pertinentes ou medidas previstas no Código de Conduta dos Jogadores, com disponibilização de um canal oficial de recurso. O usuário pode solicitar correções mediante envio da resposta específica, do horário da pergunta e dos materiais necessários à verificação; oculte informações pessoais não pertinentes. Uma resposta de IA não constitui, por si só, uma decisão de aplicação de penalidade.</w:t>
      </w:r>
    </w:p>
    <w:p>
      <w:pPr>
        <w:pStyle w:val="Heading1"/>
        <w:keepLines w:val="0"/>
      </w:pPr>
      <w:r>
        <w:rPr>
          <w:rFonts w:ascii="Noto Sans" w:hAnsi="Noto Sans" w:eastAsia="Noto Sans TC" w:cs="Noto Sans"/>
          <w:b w:val="0"/>
        </w:rPr>
        <w:t>13. Interrupção do uso e direitos relativos aos dados</w:t>
      </w:r>
    </w:p>
    <w:p>
      <w:pPr>
        <w:keepLines w:val="0"/>
      </w:pPr>
      <w:r>
        <w:rPr>
          <w:rFonts w:ascii="Noto Sans" w:hAnsi="Noto Sans" w:eastAsia="Noto Sans TC" w:cs="Noto Sans"/>
          <w:b w:val="0"/>
        </w:rPr>
        <w:t xml:space="preserve">O usuário pode interromper as conversas, revogar consentimentos que possam ser legalmente revogados, apagar o histórico local de conversas e apresentar solicitações de consulta, correção, exclusão, limitação do tratamento e reclamações pelo endereço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ou pelo atendimento oficial. Apagar registros locais não exclui automaticamente registros de serviço, chamados operacionais ou registros de terceiros legalmente conservados; o tratamento posterior observará as categorias efetivas de dados, as obrigações legais e as necessidades de segurança e de disputas pendentes, sem afetar direitos existentes. A interrupção do uso não invalida reclamações, pedidos de reembolso, solicitações de privacidade ou meios de proteção previstos em lei já existentes.</w:t>
      </w:r>
    </w:p>
    <w:p>
      <w:pPr>
        <w:pStyle w:val="Heading1"/>
        <w:keepLines w:val="0"/>
      </w:pPr>
      <w:r>
        <w:rPr>
          <w:rFonts w:ascii="Noto Sans" w:hAnsi="Noto Sans" w:eastAsia="Noto Sans TC" w:cs="Noto Sans"/>
          <w:b w:val="0"/>
        </w:rPr>
        <w:t>14. Atualizações, reclamações e contato</w:t>
      </w:r>
    </w:p>
    <w:p>
      <w:pPr>
        <w:keepLines w:val="0"/>
      </w:pPr>
      <w:r>
        <w:rPr>
          <w:rFonts w:ascii="Noto Sans" w:hAnsi="Noto Sans" w:eastAsia="Noto Sans TC" w:cs="Noto Sans"/>
          <w:b w:val="0"/>
        </w:rPr>
        <w:t xml:space="preserve">Alterações relevantes dos termos ou do tratamento serão comunicadas conforme a legislação aplicável, com cumprimento dos procedimentos necessários, sem redução retroativa de direitos legais já constituídos. Questões jurídicas e direitos relativos aos dados: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atendimento e correção de erros: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incidentes de segurança: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O endereço legal para contato permanece o indicado nas informações jurídicas oficiais.</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Termos de Uso do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