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Warunki korzystania z DAWNBLOOM Token</w:t>
      </w:r>
    </w:p>
    <w:p>
      <w:pPr>
        <w:keepLines w:val="0"/>
      </w:pPr>
      <w:r>
        <w:rPr>
          <w:rFonts w:ascii="Noto Sans" w:hAnsi="Noto Sans" w:eastAsia="Noto Sans TC" w:cs="Noto Sans"/>
          <w:b w:val="0"/>
        </w:rPr>
        <w:t>Wersja: V8</w:t>
      </w:r>
    </w:p>
    <w:p>
      <w:pPr>
        <w:keepLines w:val="0"/>
      </w:pPr>
      <w:r>
        <w:rPr>
          <w:rFonts w:ascii="Noto Sans" w:hAnsi="Noto Sans" w:eastAsia="Noto Sans TC" w:cs="Noto Sans"/>
          <w:b w:val="0"/>
        </w:rPr>
        <w:t>Data zmiany: 10 października 2026 r.</w:t>
      </w:r>
    </w:p>
    <w:p>
      <w:pPr>
        <w:keepLines w:val="0"/>
      </w:pPr>
      <w:r>
        <w:rPr>
          <w:rFonts w:ascii="Noto Sans" w:hAnsi="Noto Sans" w:eastAsia="Noto Sans TC" w:cs="Noto Sans"/>
          <w:b w:val="0"/>
        </w:rPr>
        <w:t>Data wejścia w życie: 10 października 2026 r.</w:t>
      </w:r>
    </w:p>
    <w:p>
      <w:pPr>
        <w:keepLines w:val="0"/>
      </w:pPr>
      <w:r>
        <w:rPr>
          <w:rFonts w:ascii="Noto Sans" w:hAnsi="Noto Sans" w:eastAsia="Noto Sans TC" w:cs="Noto Sans"/>
          <w:b w:val="0"/>
        </w:rPr>
        <w:t>Podmiot świadczący usługę: 上海追光智创文化传媒有限公司</w:t>
      </w:r>
    </w:p>
    <w:p>
      <w:pPr>
        <w:keepLines w:val="0"/>
      </w:pPr>
      <w:r>
        <w:rPr>
          <w:rFonts w:ascii="Noto Sans" w:hAnsi="Noto Sans" w:eastAsia="Noto Sans TC" w:cs="Noto Sans"/>
          <w:b w:val="0"/>
        </w:rPr>
        <w:t>Witamy w DAWNBLOOM Token. Niniejsze warunki dotyczą pobierania z oficjalnych kanałów, instalowania lub korzystania z tego produktu i powiązanych oficjalnych usług. Przeczytaj je przed rozpoczęciem korzystania; jeśli się z nimi nie zgadzasz, nie pobieraj ani nie korzystaj z produktu.</w:t>
      </w:r>
    </w:p>
    <w:p>
      <w:pPr>
        <w:pStyle w:val="Heading1"/>
        <w:keepLines w:val="0"/>
      </w:pPr>
      <w:r>
        <w:rPr>
          <w:rFonts w:ascii="Noto Sans" w:hAnsi="Noto Sans" w:eastAsia="Noto Sans TC" w:cs="Noto Sans"/>
          <w:b w:val="0"/>
        </w:rPr>
        <w:t>Usługodawca</w:t>
      </w:r>
    </w:p>
    <w:p>
      <w:pPr>
        <w:keepLines w:val="0"/>
      </w:pPr>
      <w:r>
        <w:rPr>
          <w:rFonts w:ascii="Noto Sans" w:hAnsi="Noto Sans" w:eastAsia="Noto Sans TC" w:cs="Noto Sans"/>
          <w:b w:val="0"/>
        </w:rPr>
        <w:t>上海追光智创文化传媒有限公司 · Chiny, Pilotażowa Strefa Wolnego Handlu w Szanghaju, Nowy Obszar Lingang, ul. Tianjiao 336, budynek 3, lokal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Zakres produktu i konto</w:t>
      </w:r>
    </w:p>
    <w:p>
      <w:pPr>
        <w:keepLines w:val="0"/>
      </w:pPr>
      <w:r>
        <w:rPr>
          <w:rFonts w:ascii="Noto Sans" w:hAnsi="Noto Sans" w:eastAsia="Noto Sans TC" w:cs="Noto Sans"/>
          <w:b w:val="0"/>
        </w:rPr>
        <w:t>DAWNBLOOM Token zapewnia dostęp do konta DAWNBLOOM, weryfikacji bezpieczeństwa oraz oficjalnej społeczności i materiałów. Rejestracja, logowanie, powiązywanie, odzyskiwanie i usuwanie konta nadal podlegają odpowiednim zasadom dotyczącym kont; zasady gry i społeczności stosuje się niezależnie, a niniejsze warunki nie zmieniają warunków uczestnictwa w nich. Kody dynamiczne służą wyłącznie bezpiecznej weryfikacji tożsamości i nie są walutą, aktywami ani dowodem uprawnienia do zysku.</w:t>
      </w:r>
    </w:p>
    <w:p>
      <w:pPr>
        <w:pStyle w:val="Heading1"/>
        <w:keepLines w:val="0"/>
      </w:pPr>
      <w:r>
        <w:rPr>
          <w:rFonts w:ascii="Noto Sans" w:hAnsi="Noto Sans" w:eastAsia="Noto Sans TC" w:cs="Noto Sans"/>
          <w:b w:val="0"/>
        </w:rPr>
        <w:t>Kody weryfikacyjne i bezpieczeństwo urządzenia</w:t>
      </w:r>
    </w:p>
    <w:p>
      <w:pPr>
        <w:keepLines w:val="0"/>
      </w:pPr>
      <w:r>
        <w:rPr>
          <w:rFonts w:ascii="Noto Sans" w:hAnsi="Noto Sans" w:eastAsia="Noto Sans TC" w:cs="Noto Sans"/>
          <w:b w:val="0"/>
        </w:rPr>
        <w:t>Chroń hasła, informacje o powiązaniach i kody dynamiczne oraz zatwierdzaj wyłącznie samodzielnie zainicjowane weryfikacje. Oficjalna obsługa nie prosi o te informacje w prywatnych wiadomościach. W razie utraty urządzenia, nieprawidłowego powiązania lub podejrzenia kradzieży konta jak najszybciej skorzystaj z oficjalnego zarządzania kontem lub kanałów obsługi klienta. Czas urządzenia, bezpieczeństwo systemu i stan sieci mogą wpływać na weryfikację; produkt nie gwarantuje uniknięcia wszelkich kradzieży kont, oszustw ani zagrożeń dotyczących urządzenia.</w:t>
      </w:r>
    </w:p>
    <w:p>
      <w:pPr>
        <w:pStyle w:val="Heading1"/>
        <w:keepLines w:val="0"/>
      </w:pPr>
      <w:r>
        <w:rPr>
          <w:rFonts w:ascii="Noto Sans" w:hAnsi="Noto Sans" w:eastAsia="Noto Sans TC" w:cs="Noto Sans"/>
          <w:b w:val="0"/>
        </w:rPr>
        <w:t>Licencja na oprogramowanie</w:t>
      </w:r>
    </w:p>
    <w:p>
      <w:pPr>
        <w:keepLines w:val="0"/>
      </w:pPr>
      <w:r>
        <w:rPr>
          <w:rFonts w:ascii="Noto Sans" w:hAnsi="Noto Sans" w:eastAsia="Noto Sans TC" w:cs="Noto Sans"/>
          <w:b w:val="0"/>
        </w:rPr>
        <w:t>Pod warunkiem przestrzegania niniejszych warunków i właściwego prawa możesz instalować i używać oficjalnej wersji na kompatybilnych urządzeniach, które zgodnie z prawem posiadasz lub kontrolujesz. Prawa własności intelektualnej do oprogramowania, marki i powiązanych treści nadal należą do uprawnionych podmiotów. Komponenty open source podmiotów trzecich są udostępniane na podstawie swoich licencji.</w:t>
      </w:r>
    </w:p>
    <w:p>
      <w:pPr>
        <w:pStyle w:val="Heading1"/>
        <w:keepLines w:val="0"/>
      </w:pPr>
      <w:r>
        <w:rPr>
          <w:rFonts w:ascii="Noto Sans" w:hAnsi="Noto Sans" w:eastAsia="Noto Sans TC" w:cs="Noto Sans"/>
          <w:b w:val="0"/>
        </w:rPr>
        <w:t>Korzystanie zgodne z prawem i usługi podmiotów trzecich</w:t>
      </w:r>
    </w:p>
    <w:p>
      <w:pPr>
        <w:keepLines w:val="0"/>
      </w:pPr>
      <w:r>
        <w:rPr>
          <w:rFonts w:ascii="Noto Sans" w:hAnsi="Noto Sans" w:eastAsia="Noto Sans TC" w:cs="Noto Sans"/>
          <w:b w:val="0"/>
        </w:rPr>
        <w:t>Zabrania się podszywania pod oficjalnego dostawcę, rozpowszechniania złośliwego oprogramowania, kradzieży kont, naruszania praw innych osób lub bezpieczeństwa usług. Niniejsze warunki nie ograniczają działań dozwolonych przez właściwe prawo ani praw przyznanych przez licencje open source. Zewnętrzne strony, źródła treści i sklepy podlegają własnym zasadom; nie kontrolujemy ich treści, dostępności ani opłat.</w:t>
      </w:r>
    </w:p>
    <w:p>
      <w:pPr>
        <w:pStyle w:val="Heading1"/>
        <w:keepLines w:val="0"/>
      </w:pPr>
      <w:r>
        <w:rPr>
          <w:rFonts w:ascii="Noto Sans" w:hAnsi="Noto Sans" w:eastAsia="Noto Sans TC" w:cs="Noto Sans"/>
          <w:b w:val="0"/>
        </w:rPr>
        <w:t>Prywatność i niezbędne potwierdzenia</w:t>
      </w:r>
    </w:p>
    <w:p>
      <w:pPr>
        <w:keepLines w:val="0"/>
      </w:pPr>
      <w:r>
        <w:rPr>
          <w:rFonts w:ascii="Noto Sans" w:hAnsi="Noto Sans" w:eastAsia="Noto Sans TC" w:cs="Noto Sans"/>
          <w:b w:val="0"/>
        </w:rPr>
        <w:t>Przetwarzanie danych osobowych określają informacja o prywatności tego produktu i Polityka prywatności DAWNBLOOM. Niniejsze warunki nie zastępują odrębnych potwierdzeń wymaganych dla uprawnień systemowych, operacji na koncie, opcjonalnej synchronizacji ani innych potwierdzeń wymaganych prawem; możesz odmówić korzystania z funkcji opcjonalnych.</w:t>
      </w:r>
    </w:p>
    <w:p>
      <w:pPr>
        <w:pStyle w:val="Heading1"/>
        <w:keepLines w:val="0"/>
      </w:pPr>
      <w:r>
        <w:rPr>
          <w:rFonts w:ascii="Noto Sans" w:hAnsi="Noto Sans" w:eastAsia="Noto Sans TC" w:cs="Noto Sans"/>
          <w:b w:val="0"/>
        </w:rPr>
        <w:t>Dostępność, aktualizacje i opłaty</w:t>
      </w:r>
    </w:p>
    <w:p>
      <w:pPr>
        <w:keepLines w:val="0"/>
      </w:pPr>
      <w:r>
        <w:rPr>
          <w:rFonts w:ascii="Noto Sans" w:hAnsi="Noto Sans" w:eastAsia="Noto Sans TC" w:cs="Noto Sans"/>
          <w:b w:val="0"/>
        </w:rPr>
        <w:t>Funkcje i kanały dystrybucji określa rzeczywiście udostępniona publicznie wersja; mogą występować różnice między platformami, urządzeniami lub regionami. Wspólny numer wersji na oficjalnej stronie nie oznacza, że wszystkie sklepy udostępniły tę samą wersję. Możemy dostarczać aktualizacje bezpieczeństwa i funkcji; w razie wprowadzenia opłat z wyprzedzeniem wyraźnie podamy cenę, zakres i właściwe zasady i nie pobierzemy opłaty wyłącznie na podstawie niniejszych warunków. Przy pobieraniu oprogramowania przez sklep należy również przestrzegać właściwych dla niego zasad licencjonowania i zakupu.</w:t>
      </w:r>
    </w:p>
    <w:p>
      <w:pPr>
        <w:pStyle w:val="Heading1"/>
        <w:keepLines w:val="0"/>
      </w:pPr>
      <w:r>
        <w:rPr>
          <w:rFonts w:ascii="Noto Sans" w:hAnsi="Noto Sans" w:eastAsia="Noto Sans TC" w:cs="Noto Sans"/>
          <w:b w:val="0"/>
        </w:rPr>
        <w:t>Ograniczenia usług i prawa użytkowników</w:t>
      </w:r>
    </w:p>
    <w:p>
      <w:pPr>
        <w:keepLines w:val="0"/>
      </w:pPr>
      <w:r>
        <w:rPr>
          <w:rFonts w:ascii="Noto Sans" w:hAnsi="Noto Sans" w:eastAsia="Noto Sans TC" w:cs="Noto Sans"/>
          <w:b w:val="0"/>
        </w:rPr>
        <w:t>Podejmujemy rozsądne działania w celu utrzymania produktu, lecz nie zobowiązujemy się, że będzie on w każdym środowisku zawsze pozbawiony błędów, działał bez przerw lub w pełni odpowiadał określonemu zastosowaniu. Zachowuj odpowiednie kopie zapasowe ważnych informacji i plików. Wszelkie ograniczenia odpowiedzialności obowiązują wyłącznie w zakresie dozwolonym przez właściwe prawo i nie wyłączają odpowiedzialności, której zgodnie z prawem nie można wyłączyć, nie zwalniają z odpowiedzialności wymaganej prawem za działanie umyślne lub rażące niedbalstwo ani nie uszczuplają bezwzględnie obowiązujących praw konsumenta.</w:t>
      </w:r>
    </w:p>
    <w:p>
      <w:pPr>
        <w:pStyle w:val="Heading1"/>
        <w:keepLines w:val="0"/>
      </w:pPr>
      <w:r>
        <w:rPr>
          <w:rFonts w:ascii="Noto Sans" w:hAnsi="Noto Sans" w:eastAsia="Noto Sans TC" w:cs="Noto Sans"/>
          <w:b w:val="0"/>
        </w:rPr>
        <w:t>Zaprzestanie korzystania i środki dotyczące usług</w:t>
      </w:r>
    </w:p>
    <w:p>
      <w:pPr>
        <w:keepLines w:val="0"/>
      </w:pPr>
      <w:r>
        <w:rPr>
          <w:rFonts w:ascii="Noto Sans" w:hAnsi="Noto Sans" w:eastAsia="Noto Sans TC" w:cs="Noto Sans"/>
          <w:b w:val="0"/>
        </w:rPr>
        <w:t>Możesz zaprzestać korzystania i odinstalować oprogramowanie. Odinstalowanie, wylogowanie i usunięcie konta DAWNBLOOM to różne operacje; w celu usunięcia konta skorzystaj z formalnej procedury dotyczącej konta. W przypadku ryzyka bezpieczeństwa, działań niezgodnych z prawem lub poważnego naruszenia warunków możemy zastosować niezbędne i proporcjonalne ograniczenia, a gdy jest to wykonalne i dozwolone prawem, podać przyczynę oraz sposób kontaktu lub odwołania.</w:t>
      </w:r>
    </w:p>
    <w:p>
      <w:pPr>
        <w:pStyle w:val="Heading1"/>
        <w:keepLines w:val="0"/>
      </w:pPr>
      <w:r>
        <w:rPr>
          <w:rFonts w:ascii="Noto Sans" w:hAnsi="Noto Sans" w:eastAsia="Noto Sans TC" w:cs="Noto Sans"/>
          <w:b w:val="0"/>
        </w:rPr>
        <w:t>Aktualizacje warunków i rozwiązywanie sporów</w:t>
      </w:r>
    </w:p>
    <w:p>
      <w:pPr>
        <w:keepLines w:val="0"/>
      </w:pPr>
      <w:r>
        <w:rPr>
          <w:rFonts w:ascii="Noto Sans" w:hAnsi="Noto Sans" w:eastAsia="Noto Sans TC" w:cs="Noto Sans"/>
          <w:b w:val="0"/>
        </w:rPr>
        <w:t>Aktualizacje warunków będą opatrzone datą. O istotnych zmianach poinformujemy w rozsądny sposób, a jeśli prawo wymaga ponownej wyraźnej zgody, uzyskamy ją odrębnie. Bez uszczerbku dla bezwzględnie obowiązujących przepisów miejsca zamieszkania użytkownika i praw konsumenta niniejsze warunki podlegają prawu Chińskiej Republiki Ludowej. Spory należy w pierwszej kolejności rozwiązywać polubownie; jeśli nie będzie to możliwe, można zgodnie z prawem skierować sprawę do właściwego sądu, bez wyłączenia środków ochrony prawnej przysługujących użytkownikowi.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Warunki korzystania z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