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Warunki sprzedaży i zwrotów DAWNBLOOM</w:t>
      </w:r>
    </w:p>
    <w:p>
      <w:pPr>
        <w:keepLines w:val="0"/>
      </w:pPr>
      <w:r>
        <w:rPr>
          <w:rFonts w:ascii="Noto Sans" w:hAnsi="Noto Sans" w:eastAsia="Arial Unicode MS" w:cs="Noto Sans"/>
          <w:b w:val="0"/>
        </w:rPr>
        <w:t>Warunki sprzedaży i zwrotów · Wersja oficjalna</w:t>
      </w:r>
    </w:p>
    <w:p>
      <w:pPr>
        <w:keepLines w:val="0"/>
      </w:pPr>
      <w:r>
        <w:rPr>
          <w:rFonts w:ascii="Noto Sans" w:hAnsi="Noto Sans" w:eastAsia="Arial Unicode MS" w:cs="Noto Sans"/>
          <w:b w:val="0"/>
        </w:rPr>
        <w:t>Wersja: V8</w:t>
      </w:r>
    </w:p>
    <w:p>
      <w:pPr>
        <w:keepLines w:val="0"/>
      </w:pPr>
      <w:r>
        <w:rPr>
          <w:rFonts w:ascii="Noto Sans" w:hAnsi="Noto Sans" w:eastAsia="Arial Unicode MS" w:cs="Noto Sans"/>
          <w:b w:val="0"/>
        </w:rPr>
        <w:t>Data aktualizacji: 10 października 2026 r.</w:t>
      </w:r>
    </w:p>
    <w:p>
      <w:pPr>
        <w:keepLines w:val="0"/>
      </w:pPr>
      <w:r>
        <w:rPr>
          <w:rFonts w:ascii="Noto Sans" w:hAnsi="Noto Sans" w:eastAsia="Arial Unicode MS" w:cs="Noto Sans"/>
          <w:b w:val="0"/>
        </w:rPr>
        <w:t>Data wejścia w życie: 10 października 2026 r.</w:t>
      </w:r>
    </w:p>
    <w:p>
      <w:pPr>
        <w:keepLines w:val="0"/>
      </w:pPr>
      <w:r>
        <w:rPr>
          <w:rFonts w:ascii="Noto Sans" w:hAnsi="Noto Sans" w:eastAsia="Arial Unicode MS" w:cs="Noto Sans"/>
          <w:b w:val="0"/>
        </w:rPr>
        <w:t>Zakres stosowania: sklep na oficjalnej stronie DAWNBLOOM i powiązane oficjalne kanały sprzedaży; zamówienia na platformach podmiotów trzecich są obsługiwane z uwzględnieniem zasad odpowiednich platform. Funkcje płatności na oficjalnej stronie zależą od ich faktycznego udostępnienia.</w:t>
      </w:r>
    </w:p>
    <w:p>
      <w:pPr>
        <w:pStyle w:val="Heading1"/>
        <w:keepLines w:val="0"/>
      </w:pPr>
      <w:r>
        <w:rPr>
          <w:rFonts w:ascii="Noto Sans" w:hAnsi="Noto Sans" w:eastAsia="Arial Unicode MS" w:cs="Noto Sans"/>
          <w:b w:val="0"/>
        </w:rPr>
        <w:t>Relacja między opublikowanymi informacjami a dokumentami</w:t>
      </w:r>
    </w:p>
    <w:p>
      <w:pPr>
        <w:keepLines w:val="0"/>
      </w:pPr>
      <w:r>
        <w:rPr>
          <w:rFonts w:ascii="Noto Sans" w:hAnsi="Noto Sans" w:eastAsia="Arial Unicode MS" w:cs="Noto Sans"/>
          <w:b w:val="0"/>
        </w:rPr>
        <w:t>Sprzedawca/Operator: Shanghai Zhui Guang Zhi Chuang Culture Media Co., Ltd. (publiczna nazwa angielska: SHANGHAI LUMIREALM CREATIVE MEDIA CO., LTD.)</w:t>
      </w:r>
    </w:p>
    <w:p>
      <w:pPr>
        <w:keepLines w:val="0"/>
      </w:pPr>
      <w:r>
        <w:rPr>
          <w:rFonts w:ascii="Noto Sans" w:hAnsi="Noto Sans" w:eastAsia="Arial Unicode MS" w:cs="Noto Sans"/>
          <w:b w:val="0"/>
        </w:rPr>
        <w:t xml:space="preserve">Oficjalna strona internetowa: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Obsługa klienta dotycząca zwrotów i zamówień: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Niniejsze Warunki działają w powiązaniu z Warunkami Korzystania z Witryny, Warunkami DAWNBLOOM Community, Polityką Prywatności, Regułami Gracza oraz specyfikacją na stronie produktu. Treść produktów, prawdopodobieństwa, sposób dostawy, promocje i ograniczenia są określone przez informacje wyraźnie wyświetlane w momencie zakupu. Obowiązujące ustawowe prawa konsumenta pozostają nienaruszone.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Przewodnik po zakupach i zwrotach</w:t>
            </w:r>
          </w:p>
        </w:tc>
        <w:tc>
          <w:tcPr>
            <w:tcW w:type="dxa" w:w="4873"/>
            <w:vAlign w:val="center"/>
            <w:shd w:fill="DCE8F7"/>
          </w:tcPr>
          <w:p>
            <w:pPr>
              <w:keepNext/>
              <w:spacing w:after="40"/>
            </w:pPr>
            <w:r>
              <w:rPr>
                <w:rFonts w:ascii="Noto Sans" w:hAnsi="Noto Sans" w:eastAsia="Arial Unicode MS" w:cs="Noto Sans"/>
                <w:b/>
                <w:sz w:val="17"/>
              </w:rPr>
              <w:t>Reguła</w:t>
            </w:r>
          </w:p>
        </w:tc>
      </w:tr>
      <w:tr>
        <w:trPr>
          <w:cantSplit/>
        </w:trPr>
        <w:tc>
          <w:tcPr>
            <w:tcW w:type="dxa" w:w="4873"/>
            <w:vAlign w:val="center"/>
          </w:tcPr>
          <w:p>
            <w:pPr>
              <w:spacing w:after="40"/>
            </w:pPr>
            <w:r>
              <w:rPr>
                <w:rFonts w:ascii="Noto Sans" w:hAnsi="Noto Sans" w:eastAsia="Arial Unicode MS" w:cs="Noto Sans"/>
                <w:sz w:val="17"/>
              </w:rPr>
              <w:t>Produkty witryny</w:t>
            </w:r>
          </w:p>
        </w:tc>
        <w:tc>
          <w:tcPr>
            <w:tcW w:type="dxa" w:w="4873"/>
            <w:vAlign w:val="center"/>
          </w:tcPr>
          <w:p>
            <w:pPr>
              <w:spacing w:after="40"/>
            </w:pPr>
            <w:r>
              <w:rPr>
                <w:rFonts w:ascii="Noto Sans" w:hAnsi="Noto Sans" w:eastAsia="Arial Unicode MS" w:cs="Noto Sans"/>
                <w:sz w:val="17"/>
              </w:rPr>
              <w:t>Podstawa CNY; dzienna konwersja USD/JPY i zablokowana cena produktu w momencie potwierdzenia.</w:t>
            </w:r>
          </w:p>
        </w:tc>
      </w:tr>
      <w:tr>
        <w:trPr>
          <w:cantSplit/>
        </w:trPr>
        <w:tc>
          <w:tcPr>
            <w:tcW w:type="dxa" w:w="4873"/>
            <w:vAlign w:val="center"/>
          </w:tcPr>
          <w:p>
            <w:pPr>
              <w:spacing w:after="40"/>
            </w:pPr>
            <w:r>
              <w:rPr>
                <w:rFonts w:ascii="Noto Sans" w:hAnsi="Noto Sans" w:eastAsia="Arial Unicode MS" w:cs="Noto Sans"/>
                <w:sz w:val="17"/>
              </w:rPr>
              <w:t>Zwrot z witryny</w:t>
            </w:r>
          </w:p>
        </w:tc>
        <w:tc>
          <w:tcPr>
            <w:tcW w:type="dxa" w:w="4873"/>
            <w:vAlign w:val="center"/>
          </w:tcPr>
          <w:p>
            <w:pPr>
              <w:spacing w:after="40"/>
            </w:pPr>
            <w:r>
              <w:rPr>
                <w:rFonts w:ascii="Noto Sans" w:hAnsi="Noto Sans" w:eastAsia="Arial Unicode MS" w:cs="Noto Sans"/>
                <w:sz w:val="17"/>
              </w:rPr>
              <w:t>Oryginalna trasa, waluta i rzeczywista zapłacona kwota; brak ponownego przeliczania walut w dniu zwrotu.</w:t>
            </w:r>
          </w:p>
        </w:tc>
      </w:tr>
      <w:tr>
        <w:trPr>
          <w:cantSplit/>
        </w:trPr>
        <w:tc>
          <w:tcPr>
            <w:tcW w:type="dxa" w:w="4873"/>
            <w:vAlign w:val="center"/>
          </w:tcPr>
          <w:p>
            <w:pPr>
              <w:spacing w:after="40"/>
            </w:pPr>
            <w:r>
              <w:rPr>
                <w:rFonts w:ascii="Noto Sans" w:hAnsi="Noto Sans" w:eastAsia="Arial Unicode MS" w:cs="Noto Sans"/>
                <w:sz w:val="17"/>
              </w:rPr>
              <w:t>Platformy osób trzecich</w:t>
            </w:r>
          </w:p>
        </w:tc>
        <w:tc>
          <w:tcPr>
            <w:tcW w:type="dxa" w:w="4873"/>
            <w:vAlign w:val="center"/>
          </w:tcPr>
          <w:p>
            <w:pPr>
              <w:spacing w:after="40"/>
            </w:pPr>
            <w:r>
              <w:rPr>
                <w:rFonts w:ascii="Noto Sans" w:hAnsi="Noto Sans" w:eastAsia="Arial Unicode MS" w:cs="Noto Sans"/>
                <w:sz w:val="17"/>
              </w:rPr>
              <w:t>Ich zasady płatności i zwrotów oraz właściwe prawo stanowią o ich regulacji.</w:t>
            </w:r>
          </w:p>
        </w:tc>
      </w:tr>
      <w:tr>
        <w:trPr>
          <w:cantSplit/>
        </w:trPr>
        <w:tc>
          <w:tcPr>
            <w:tcW w:type="dxa" w:w="4873"/>
            <w:vAlign w:val="center"/>
          </w:tcPr>
          <w:p>
            <w:pPr>
              <w:spacing w:after="40"/>
            </w:pPr>
            <w:r>
              <w:rPr>
                <w:rFonts w:ascii="Noto Sans" w:hAnsi="Noto Sans" w:eastAsia="Arial Unicode MS" w:cs="Noto Sans"/>
                <w:sz w:val="17"/>
              </w:rPr>
              <w:t>Nieletni</w:t>
            </w:r>
          </w:p>
        </w:tc>
        <w:tc>
          <w:tcPr>
            <w:tcW w:type="dxa" w:w="4873"/>
            <w:vAlign w:val="center"/>
          </w:tcPr>
          <w:p>
            <w:pPr>
              <w:spacing w:after="40"/>
            </w:pPr>
            <w:r>
              <w:rPr>
                <w:rFonts w:ascii="Noto Sans" w:hAnsi="Noto Sans" w:eastAsia="Arial Unicode MS" w:cs="Noto Sans"/>
                <w:sz w:val="17"/>
              </w:rPr>
              <w:t>Po zweryfikowanym i ukończonym pełnym lub w zasadniczym zakresie zwrocie, tylko powiązane konto w grze jest trwale ograniczone; możliwa jest ręczna korekta.</w:t>
            </w:r>
          </w:p>
        </w:tc>
      </w:tr>
    </w:tbl>
    <w:p>
      <w:pPr>
        <w:spacing w:after="40"/>
      </w:pPr>
    </w:p>
    <w:p>
      <w:pPr>
        <w:pStyle w:val="Heading1"/>
        <w:keepLines w:val="0"/>
      </w:pPr>
      <w:r>
        <w:rPr>
          <w:rFonts w:ascii="Noto Sans" w:hAnsi="Noto Sans" w:eastAsia="Arial Unicode MS" w:cs="Noto Sans"/>
          <w:b w:val="0"/>
        </w:rPr>
        <w:t>Krótkie podsumowanie zwrotów</w:t>
      </w:r>
    </w:p>
    <w:p>
      <w:pPr>
        <w:pStyle w:val="ListBullet"/>
        <w:keepLines w:val="0"/>
      </w:pPr>
      <w:r>
        <w:rPr>
          <w:rFonts w:ascii="Noto Sans" w:hAnsi="Noto Sans" w:eastAsia="Arial Unicode MS" w:cs="Noto Sans"/>
          <w:b w:val="0"/>
        </w:rPr>
        <w:t>Produkty na stronie internetowej mają jedną bazową cenę w CNY. Ceny w USD i JPY są wyprowadzane z aktualnego dziennego snapshotu kursu wymiany walut. Po uruchomieniu płatności na stronie internetowej potwierdzenie zamówienia blokuje wyświetlaną walutę produktu i kwotę.</w:t>
      </w:r>
    </w:p>
    <w:p>
      <w:pPr>
        <w:pStyle w:val="ListBullet"/>
        <w:keepLines w:val="0"/>
      </w:pPr>
      <w:r>
        <w:rPr>
          <w:rFonts w:ascii="Noto Sans" w:hAnsi="Noto Sans" w:eastAsia="Arial Unicode MS" w:cs="Noto Sans"/>
          <w:b w:val="0"/>
        </w:rPr>
        <w:t>W przypadku wielokrotnych odliczeń, nieuzyskania kredytu, błędnej dostawy, oczywistych usterek technicznych lub rozbieżności między towarami a publicznie ujawnionymi informacjami, priorytetem będzie przeprowadzenie dochodzenia oraz udzielenie odpowiednich środków naprawczych, takich jak wymiana, naprawa, zwrot pieniędzy lub inne odpowiednie odszkodowanie.</w:t>
      </w:r>
    </w:p>
    <w:p>
      <w:pPr>
        <w:pStyle w:val="ListBullet"/>
        <w:keepLines w:val="0"/>
      </w:pPr>
      <w:r>
        <w:rPr>
          <w:rFonts w:ascii="Noto Sans" w:hAnsi="Noto Sans" w:eastAsia="Arial Unicode MS" w:cs="Noto Sans"/>
          <w:b w:val="0"/>
        </w:rPr>
        <w:t>Towary cyfrowe, które zostały już aktywowane, zużyte, przeniesione, wymienione lub których losowe wyniki zostały wygenerowane, są generalnie niewykwalifikowane do dobrowolnych zwrotów z powodu "żałowania zakupu" lub "niedowolności z wyniku losowego"; stosują się wyjątki przewidziane w innym miejscu przez obowiązujące prawo.</w:t>
      </w:r>
    </w:p>
    <w:p>
      <w:pPr>
        <w:pStyle w:val="ListBullet"/>
        <w:keepLines w:val="0"/>
      </w:pPr>
      <w:r>
        <w:rPr>
          <w:rFonts w:ascii="Noto Sans" w:hAnsi="Noto Sans" w:eastAsia="Arial Unicode MS" w:cs="Noto Sans"/>
          <w:b w:val="0"/>
        </w:rPr>
        <w:t>Zamówienia złożone poprzez Apple App Store, Steam i przyszłe platformy takie jak Google Play będą, gdzie to możliwe, postępować zgodnie z procedurami zwrotu poszczególnych platform. DAWNBLOOM pomoże w weryfikacji statusu zamówienia i dostawy, jeśli zajdzie taka potrzeba.</w:t>
      </w:r>
    </w:p>
    <w:p>
      <w:pPr>
        <w:pStyle w:val="ListBullet"/>
        <w:keepLines w:val="0"/>
      </w:pPr>
      <w:r>
        <w:rPr>
          <w:rFonts w:ascii="Noto Sans" w:hAnsi="Noto Sans" w:eastAsia="Arial Unicode MS" w:cs="Noto Sans"/>
          <w:b w:val="0"/>
        </w:rPr>
        <w:t>Używanie Apple Pay na oficjalnej stronie jest metodą płatności i nie równa się zakupowi w aplikacji w App Store. Zamówienia złożone za pośrednictwem Apple Pay przez dawnbloom.net są uważane za zamówienia na oficjalnej stronie internetowej.</w:t>
      </w:r>
    </w:p>
    <w:p>
      <w:pPr>
        <w:pStyle w:val="ListBullet"/>
        <w:keepLines w:val="0"/>
      </w:pPr>
      <w:r>
        <w:rPr>
          <w:rFonts w:ascii="Noto Sans" w:hAnsi="Noto Sans" w:eastAsia="Arial Unicode MS" w:cs="Noto Sans"/>
          <w:b w:val="0"/>
        </w:rPr>
        <w:t>Usługa przeznaczona jest dla dorosłych w wieku 18 lat lub starszych. Roszczenia dotyczące zakupów dokonywanych przez nieletnich są rozpatrywane zgodnie z obowiązującym prawem, dowodami i zasadami platformy, bez ustalonego limitu 70%. Po zatwierdzonym pełnym lub prawie pełnym zwrocie faktycznie ukończonym dla zweryfikowanego zakupu dokonanego przez nieletniego, powiązane konto gry jest trwale ograniczone w korzystaniu z normalnej usługi gry; błędne decyzje mogą być skorygowane przez autoryzowaną ręczną recenzję.</w:t>
      </w:r>
    </w:p>
    <w:p>
      <w:pPr>
        <w:pStyle w:val="ListBullet"/>
        <w:keepLines w:val="0"/>
      </w:pPr>
      <w:r>
        <w:rPr>
          <w:rFonts w:ascii="Noto Sans" w:hAnsi="Noto Sans" w:eastAsia="Arial Unicode MS" w:cs="Noto Sans"/>
          <w:b w:val="0"/>
        </w:rPr>
        <w:t>Cyfrowe uprawnienia związane z zakończonym zwrotem mogą zostać cofnięte. Zwykłe zwroty i spory w dobrej wierze same w sobie nie powodują ograniczenia gry specyficznego dla nieletnich. To ograniczenie nie zmniejsza prawnie zatwierdzonego zwrotu ani automatycznie nie wyłącza całego konta DAWNBLOOM.</w:t>
      </w:r>
    </w:p>
    <w:p>
      <w:pPr>
        <w:pStyle w:val="ListBullet"/>
        <w:keepLines w:val="0"/>
      </w:pPr>
      <w:r>
        <w:rPr>
          <w:rFonts w:ascii="Noto Sans" w:hAnsi="Noto Sans" w:eastAsia="Arial Unicode MS" w:cs="Noto Sans"/>
          <w:b w:val="0"/>
        </w:rPr>
        <w:t>Prawdopodobieństwo, puli nagród i informacje o wersji dla towarów typu losowego muszą być jasno ujawnione przed zakupem; specyficzny mechanizm sprzedaży towarów typu losowego w regionie Chin kontynentalnych musi przejść dedykowany bramkę zgodności przed oficjalnym uruchomieniem.</w:t>
      </w:r>
    </w:p>
    <w:p>
      <w:pPr>
        <w:pStyle w:val="Heading1"/>
        <w:keepLines w:val="0"/>
      </w:pPr>
      <w:r>
        <w:rPr>
          <w:rFonts w:ascii="Noto Sans" w:hAnsi="Noto Sans" w:eastAsia="Arial Unicode MS" w:cs="Noto Sans"/>
          <w:b w:val="0"/>
        </w:rPr>
        <w:t>1. Zakres stosowania i kwalifikacja do zakupu</w:t>
      </w:r>
    </w:p>
    <w:p>
      <w:pPr>
        <w:keepLines w:val="0"/>
      </w:pPr>
      <w:r>
        <w:rPr>
          <w:rFonts w:ascii="Noto Sans" w:hAnsi="Noto Sans" w:eastAsia="Arial Unicode MS" w:cs="Noto Sans"/>
          <w:b w:val="0"/>
        </w:rPr>
        <w:t>Niniejsze Warunki regulują towary cyfrowe nabyte przez sklep na stronie internetowej DAWNBLOOM. Zakupy cenowane, rozliczane lub refundowane przez Apple App Store, Steam, Google Play lub inną platformę podlegają zasadom tej platformy oraz stosownemu prawu, a nie systemowi dziennych kursów walut lub notowań strony internetowej. Dostępność płatności na stronie internetowej jest wyświetlana podczas rzeczywistego procesu finalizacji zakupu.</w:t>
      </w:r>
    </w:p>
    <w:p>
      <w:pPr>
        <w:keepLines w:val="0"/>
      </w:pPr>
      <w:r>
        <w:rPr>
          <w:rFonts w:ascii="Noto Sans" w:hAnsi="Noto Sans" w:eastAsia="Arial Unicode MS" w:cs="Noto Sans"/>
          <w:b w:val="0"/>
        </w:rPr>
        <w:t>Włączenie sześciu aplikacji do asortymentu produktów nie oznacza, że każda z nich jest dostępna do zakupu lub subskrypcji. Jeśli w przyszłości zostaną oferowane płatne oprogramowanie lub elementy w aplikacji, strona sprzedaży przed zakupem wskaże ceny, sposób dostawy, warunki anulowania i zwrotu środków. Obecne zasady dotyczące wirtualnych przedmiotów w grach nie mają automatycznie zastosowania do zakupów oprogramowania.</w:t>
      </w:r>
    </w:p>
    <w:p>
      <w:pPr>
        <w:keepLines w:val="0"/>
      </w:pPr>
      <w:r>
        <w:rPr>
          <w:rFonts w:ascii="Noto Sans" w:hAnsi="Noto Sans" w:eastAsia="Arial Unicode MS" w:cs="Noto Sans"/>
          <w:b w:val="0"/>
        </w:rPr>
        <w:t>Usługa DAWNBLOOM jest obecnie dostępna wyłącznie dla użytkowników, którzy ukończyli co najmniej 18 lat. Przed złożeniem zamówienia użytkownicy muszą upewnić się, że posiadają zdolność prawną do zawierania umów i korzystania z odpowiednich metod płatności oraz potwierdzić, że czynność zakupu została autoryzowana przez nich samych lub przez prawnie uprawnionego posiadacza instrumentu płatniczego.</w:t>
      </w:r>
    </w:p>
    <w:p>
      <w:pPr>
        <w:keepLines w:val="0"/>
      </w:pPr>
      <w:r>
        <w:rPr>
          <w:rFonts w:ascii="Noto Sans" w:hAnsi="Noto Sans" w:eastAsia="Arial Unicode MS" w:cs="Noto Sans"/>
          <w:b w:val="0"/>
        </w:rPr>
        <w:t>Zakupy dokonywane przez użytkowników za pośrednictwem platform stron trzecich podlegają warunkom świadczenia usług, wytycznym dla deweloperów, politykom zwrotu środków oraz stosownym lokalnym przepisom prawnym tych platform. Jeśli zasady platformy przyznają użytkownikom bardziej korzystne i niezbywalne prawa do zwrotu środków, mają zastosowanie te zasady i przepisy prawne.</w:t>
      </w:r>
    </w:p>
    <w:p>
      <w:pPr>
        <w:pStyle w:val="Heading1"/>
        <w:keepLines w:val="0"/>
      </w:pPr>
      <w:r>
        <w:rPr>
          <w:rFonts w:ascii="Noto Sans" w:hAnsi="Noto Sans" w:eastAsia="Arial Unicode MS" w:cs="Noto Sans"/>
          <w:b w:val="0"/>
        </w:rPr>
        <w:t>2. Towary cyfrowe, ceny i metody płatności</w:t>
      </w:r>
    </w:p>
    <w:p>
      <w:pPr>
        <w:pStyle w:val="Heading1"/>
        <w:keepLines w:val="0"/>
      </w:pPr>
      <w:r>
        <w:rPr>
          <w:rFonts w:ascii="Noto Sans" w:hAnsi="Noto Sans" w:eastAsia="Arial Unicode MS" w:cs="Noto Sans"/>
          <w:b w:val="0"/>
        </w:rPr>
        <w:t>2.1 Typ towarów</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Kategorie produktów</w:t>
            </w:r>
          </w:p>
        </w:tc>
        <w:tc>
          <w:tcPr>
            <w:tcW w:type="dxa" w:w="3249"/>
            <w:vAlign w:val="center"/>
            <w:shd w:fill="DCE8F7"/>
          </w:tcPr>
          <w:p>
            <w:pPr>
              <w:keepNext/>
              <w:spacing w:after="40"/>
            </w:pPr>
            <w:r>
              <w:rPr>
                <w:rFonts w:ascii="Noto Sans" w:hAnsi="Noto Sans" w:eastAsia="Arial Unicode MS" w:cs="Noto Sans"/>
                <w:b/>
                <w:sz w:val="17"/>
              </w:rPr>
              <w:t>Wymagania dotyczące ujawniania informacji przed zakupem</w:t>
            </w:r>
          </w:p>
        </w:tc>
        <w:tc>
          <w:tcPr>
            <w:tcW w:type="dxa" w:w="3249"/>
            <w:vAlign w:val="center"/>
            <w:shd w:fill="DCE8F7"/>
          </w:tcPr>
          <w:p>
            <w:pPr>
              <w:keepNext/>
              <w:spacing w:after="40"/>
            </w:pPr>
            <w:r>
              <w:rPr>
                <w:rFonts w:ascii="Noto Sans" w:hAnsi="Noto Sans" w:eastAsia="Arial Unicode MS" w:cs="Noto Sans"/>
                <w:b/>
                <w:sz w:val="17"/>
              </w:rPr>
              <w:t>Cechy dostawy</w:t>
            </w:r>
          </w:p>
        </w:tc>
      </w:tr>
      <w:tr>
        <w:trPr>
          <w:cantSplit/>
        </w:trPr>
        <w:tc>
          <w:tcPr>
            <w:tcW w:type="dxa" w:w="3249"/>
            <w:vAlign w:val="center"/>
          </w:tcPr>
          <w:p>
            <w:pPr>
              <w:spacing w:after="40"/>
            </w:pPr>
            <w:r>
              <w:rPr>
                <w:rFonts w:ascii="Noto Sans" w:hAnsi="Noto Sans" w:eastAsia="Arial Unicode MS" w:cs="Noto Sans"/>
                <w:sz w:val="17"/>
              </w:rPr>
              <w:t>Skrzynie skarbów o stałej zawartości</w:t>
            </w:r>
          </w:p>
        </w:tc>
        <w:tc>
          <w:tcPr>
            <w:tcW w:type="dxa" w:w="3249"/>
            <w:vAlign w:val="center"/>
          </w:tcPr>
          <w:p>
            <w:pPr>
              <w:spacing w:after="40"/>
            </w:pPr>
            <w:r>
              <w:rPr>
                <w:rFonts w:ascii="Noto Sans" w:hAnsi="Noto Sans" w:eastAsia="Arial Unicode MS" w:cs="Noto Sans"/>
                <w:sz w:val="17"/>
              </w:rPr>
              <w:t>Cena, pełna zawartość, ilość, ograniczenia dotyczące użytkowania/transakcji oraz okres ważności (jeśli dotyczy)</w:t>
            </w:r>
          </w:p>
        </w:tc>
        <w:tc>
          <w:tcPr>
            <w:tcW w:type="dxa" w:w="3249"/>
            <w:vAlign w:val="center"/>
          </w:tcPr>
          <w:p>
            <w:pPr>
              <w:spacing w:after="40"/>
            </w:pPr>
            <w:r>
              <w:rPr>
                <w:rFonts w:ascii="Noto Sans" w:hAnsi="Noto Sans" w:eastAsia="Arial Unicode MS" w:cs="Noto Sans"/>
                <w:sz w:val="17"/>
              </w:rPr>
              <w:t>Po potwierdzeniu płatności zawartość zostanie dostarczona na odpowiednie konto gry; zawartość nie jest losowa.</w:t>
            </w:r>
          </w:p>
        </w:tc>
      </w:tr>
      <w:tr>
        <w:trPr>
          <w:cantSplit/>
        </w:trPr>
        <w:tc>
          <w:tcPr>
            <w:tcW w:type="dxa" w:w="3249"/>
            <w:vAlign w:val="center"/>
          </w:tcPr>
          <w:p>
            <w:pPr>
              <w:spacing w:after="40"/>
            </w:pPr>
            <w:r>
              <w:rPr>
                <w:rFonts w:ascii="Noto Sans" w:hAnsi="Noto Sans" w:eastAsia="Arial Unicode MS" w:cs="Noto Sans"/>
                <w:sz w:val="17"/>
              </w:rPr>
              <w:t>Losowa skrzynia skarbów</w:t>
            </w:r>
          </w:p>
        </w:tc>
        <w:tc>
          <w:tcPr>
            <w:tcW w:type="dxa" w:w="3249"/>
            <w:vAlign w:val="center"/>
          </w:tcPr>
          <w:p>
            <w:pPr>
              <w:spacing w:after="40"/>
            </w:pPr>
            <w:r>
              <w:rPr>
                <w:rFonts w:ascii="Noto Sans" w:hAnsi="Noto Sans" w:eastAsia="Arial Unicode MS" w:cs="Noto Sans"/>
                <w:sz w:val="17"/>
              </w:rPr>
              <w:t>Cena, zakres możliwych przedmiotów, reguły prawdopodobieństwa lub zasady, ilość lub rzadkość, numer wersji/data wejścia w życie, warunki ograniczające</w:t>
            </w:r>
          </w:p>
        </w:tc>
        <w:tc>
          <w:tcPr>
            <w:tcW w:type="dxa" w:w="3249"/>
            <w:vAlign w:val="center"/>
          </w:tcPr>
          <w:p>
            <w:pPr>
              <w:spacing w:after="40"/>
            </w:pPr>
            <w:r>
              <w:rPr>
                <w:rFonts w:ascii="Noto Sans" w:hAnsi="Noto Sans" w:eastAsia="Arial Unicode MS" w:cs="Noto Sans"/>
                <w:sz w:val="17"/>
              </w:rPr>
              <w:t>Po potwierdzeniu płatności skrzynia skarbów zostanie wydana na odpowiednie konto gry; po otwarciu wynik losowy zostanie wygenerowany zgodnie z zasadami publicznie ujawnionymi w momencie otwarcia.</w:t>
            </w:r>
          </w:p>
        </w:tc>
      </w:tr>
      <w:tr>
        <w:trPr>
          <w:cantSplit/>
        </w:trPr>
        <w:tc>
          <w:tcPr>
            <w:tcW w:type="dxa" w:w="3249"/>
            <w:vAlign w:val="center"/>
          </w:tcPr>
          <w:p>
            <w:pPr>
              <w:spacing w:after="40"/>
            </w:pPr>
            <w:r>
              <w:rPr>
                <w:rFonts w:ascii="Noto Sans" w:hAnsi="Noto Sans" w:eastAsia="Arial Unicode MS" w:cs="Noto Sans"/>
                <w:sz w:val="17"/>
              </w:rPr>
              <w:t>Przyszłe towary cyfrowe</w:t>
            </w:r>
          </w:p>
        </w:tc>
        <w:tc>
          <w:tcPr>
            <w:tcW w:type="dxa" w:w="3249"/>
            <w:vAlign w:val="center"/>
          </w:tcPr>
          <w:p>
            <w:pPr>
              <w:spacing w:after="40"/>
            </w:pPr>
            <w:r>
              <w:rPr>
                <w:rFonts w:ascii="Noto Sans" w:hAnsi="Noto Sans" w:eastAsia="Arial Unicode MS" w:cs="Noto Sans"/>
                <w:sz w:val="17"/>
              </w:rPr>
              <w:t>Szczegółowe warunki dotyczące ceny, zawartości, dostawy i zwrotu środków zostaną zdefiniowane w zależności od charakteru towarów.</w:t>
            </w:r>
          </w:p>
        </w:tc>
        <w:tc>
          <w:tcPr>
            <w:tcW w:type="dxa" w:w="3249"/>
            <w:vAlign w:val="center"/>
          </w:tcPr>
          <w:p>
            <w:pPr>
              <w:spacing w:after="40"/>
            </w:pPr>
            <w:r>
              <w:rPr>
                <w:rFonts w:ascii="Noto Sans" w:hAnsi="Noto Sans" w:eastAsia="Arial Unicode MS" w:cs="Noto Sans"/>
                <w:sz w:val="17"/>
              </w:rPr>
              <w:t>Strona zakupu i niniejsze Warunki są decydujące.</w:t>
            </w:r>
          </w:p>
        </w:tc>
      </w:tr>
    </w:tbl>
    <w:p>
      <w:pPr>
        <w:spacing w:after="40"/>
      </w:pPr>
    </w:p>
    <w:p>
      <w:pPr>
        <w:pStyle w:val="Heading1"/>
        <w:keepLines w:val="0"/>
      </w:pPr>
      <w:r>
        <w:rPr>
          <w:rFonts w:ascii="Noto Sans" w:hAnsi="Noto Sans" w:eastAsia="Arial Unicode MS" w:cs="Noto Sans"/>
          <w:b w:val="0"/>
        </w:rPr>
        <w:t>2.2 Metody płatności</w:t>
      </w:r>
    </w:p>
    <w:p>
      <w:pPr>
        <w:keepLines w:val="0"/>
      </w:pPr>
      <w:r>
        <w:rPr>
          <w:rFonts w:ascii="Noto Sans" w:hAnsi="Noto Sans" w:eastAsia="Arial Unicode MS" w:cs="Noto Sans"/>
          <w:b w:val="0"/>
        </w:rPr>
        <w:t>Gdy płatności na stronie internetowej staną się dostępne, legalnie dostępne metody mogą różnić się w zależności od regionu i urządzenia. Rzeczywista metoda, waluta rozliczeniowa, podatki i kroki weryfikacyjne muszą być wyświetlone przed ostatecznym potwierdzeniem.</w:t>
      </w:r>
    </w:p>
    <w:p>
      <w:pPr>
        <w:keepLines w:val="0"/>
      </w:pPr>
      <w:r>
        <w:rPr>
          <w:rFonts w:ascii="Noto Sans" w:hAnsi="Noto Sans" w:eastAsia="Arial Unicode MS" w:cs="Noto Sans"/>
          <w:b w:val="0"/>
        </w:rPr>
        <w:t>Płatności dokonane za pomocą Apple Pay na dawnbloom.net są uważane za oficjalne zamówienia na stronie internetowej; Apple Pay służy wyłącznie jako metoda płatności i nie stanowi zakupu w aplikacji zakończonego poprzez App Store.</w:t>
      </w:r>
    </w:p>
    <w:p>
      <w:pPr>
        <w:pStyle w:val="Heading1"/>
        <w:keepLines w:val="0"/>
      </w:pPr>
      <w:r>
        <w:rPr>
          <w:rFonts w:ascii="Noto Sans" w:hAnsi="Noto Sans" w:eastAsia="Arial Unicode MS" w:cs="Noto Sans"/>
          <w:b w:val="0"/>
        </w:rPr>
        <w:t>2.3 Ceny, podatki i kursy walut</w:t>
      </w:r>
    </w:p>
    <w:p>
      <w:pPr>
        <w:keepLines w:val="0"/>
      </w:pPr>
      <w:r>
        <w:rPr>
          <w:rFonts w:ascii="Noto Sans" w:hAnsi="Noto Sans" w:eastAsia="Arial Unicode MS" w:cs="Noto Sans"/>
          <w:b w:val="0"/>
        </w:rPr>
        <w:t>CNY jest jedyną walutą bazową dla produktów na stronie internetowej. Ceny w USD i JPY są obliczane bezpośrednio z CNY przy użyciu tego samego stosowanego dziennego snapshotu kursu referencyjnego, zaokrąglone odpowiednio do centów i pełnych jenów; CNY używa fen. Kursy są zazwyczaj aktualizowane raz dziennie. Jeśli aktualizacja się nie powiedzie, może zostać użyty najnowszy ważny snapshot z wyświetlonym czasem aktualizacji. Kurs to informacje referencyjne; cena produktu obliczona na jej podstawie i wyświetlona w ważnym ofercie jest rzeczywistą ceną rozliczeniową. Po potwierdzeniu oferta blokuje produkt, walutę i kwotę, nawet jeśli dzienna aktualizacja nastąpi w trakcie jej ważności. Wygasła oferta wymaga nowej ceny i potwierdzenia użytkownika. Wyświetlona kwota produktu, ważna kwota zamówienia i kwota płatności muszą być zgodne, bez drugiego konwersji przy kasie. Cena produktu, należne podatki i inne opłaty muszą być ujawnione osobno przed potwierdzeniem. Konwersja w wyciągu bankowym i niezależnie naliczone opłaty za transakcje zagraniczne są poza zakresem dziennego kursu strony.</w:t>
      </w:r>
    </w:p>
    <w:p>
      <w:pPr>
        <w:pStyle w:val="Heading1"/>
        <w:keepLines w:val="0"/>
      </w:pPr>
      <w:r>
        <w:rPr>
          <w:rFonts w:ascii="Noto Sans" w:hAnsi="Noto Sans" w:eastAsia="Arial Unicode MS" w:cs="Noto Sans"/>
          <w:b w:val="0"/>
        </w:rPr>
        <w:t>3. Potwierdzenie zamówienia, zawarcie umowy i dostawa cyfrowa</w:t>
      </w:r>
    </w:p>
    <w:p>
      <w:pPr>
        <w:keepLines w:val="0"/>
      </w:pPr>
      <w:r>
        <w:rPr>
          <w:rFonts w:ascii="Noto Sans" w:hAnsi="Noto Sans" w:eastAsia="Arial Unicode MS" w:cs="Noto Sans"/>
          <w:b w:val="0"/>
        </w:rPr>
        <w:t>Przed złożeniem zamówienia użytkownicy muszą mieć możliwość przeglądu przedmiotu, ilości, typu, wybranej waluty, zablokowanej ceny produktu, oddzielnie wskazanych podatków lub opłat, całkowitej kwoty do zapłaty, konta dostawy oraz informacji o zwrocie. Zmieniona cena bazowa CNY lub dzienny kurs wpływa tylko na nowo potwierdzone oferty; zapłacone zamówienia nigdy nie są przeliczane.</w:t>
      </w:r>
    </w:p>
    <w:p>
      <w:pPr>
        <w:keepLines w:val="0"/>
      </w:pPr>
      <w:r>
        <w:rPr>
          <w:rFonts w:ascii="Noto Sans" w:hAnsi="Noto Sans" w:eastAsia="Arial Unicode MS" w:cs="Noto Sans"/>
          <w:b w:val="0"/>
        </w:rPr>
        <w:t xml:space="preserve">Po pomyślnej płatności i potwierdzeniu systemowym towary cyfrowe zostaną automatycznie wydane na konto gry powiązane z zakupem. Jeśli płatność została zakończona, ale system jej nie potwierdził, środki dotarły z opóźnieniem lub dostawa nie powiodła się, użytkownik powinien zachować numer zamówienia i skontaktować się z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Zapisy zamówień powinny przechowywać bazową cenę w walucie CNY z momentu zakupu, faktyczną walutę i kwotę rozliczeniową, kurs wymiany (snapshot FX), czas transakcji oraz rekordy dostawy i użycia w celu zwrotów, wsparcia, audytów i sporów, zgodnie z Polityką Prywatności.</w:t>
      </w:r>
    </w:p>
    <w:p>
      <w:pPr>
        <w:pStyle w:val="Heading1"/>
        <w:keepLines w:val="0"/>
      </w:pPr>
      <w:r>
        <w:rPr>
          <w:rFonts w:ascii="Noto Sans" w:hAnsi="Noto Sans" w:eastAsia="Arial Unicode MS" w:cs="Noto Sans"/>
          <w:b w:val="0"/>
        </w:rPr>
        <w:t>4. Ogólne zasady zwrotu pieniędzy za zamówienia na oficjalnej stronie internetowej</w:t>
      </w:r>
    </w:p>
    <w:p>
      <w:pPr>
        <w:pStyle w:val="Heading1"/>
        <w:keepLines w:val="0"/>
      </w:pPr>
      <w:r>
        <w:rPr>
          <w:rFonts w:ascii="Noto Sans" w:hAnsi="Noto Sans" w:eastAsia="Arial Unicode MS" w:cs="Noto Sans"/>
          <w:b w:val="0"/>
        </w:rPr>
        <w:t>4.1 Okoliczności uprawniające do priorytetowego zwrotu lub alternatywnych środków zaradczych</w:t>
      </w:r>
    </w:p>
    <w:p>
      <w:pPr>
        <w:pStyle w:val="ListBullet"/>
        <w:keepLines w:val="0"/>
      </w:pPr>
      <w:r>
        <w:rPr>
          <w:rFonts w:ascii="Noto Sans" w:hAnsi="Noto Sans" w:eastAsia="Arial Unicode MS" w:cs="Noto Sans"/>
          <w:b w:val="0"/>
        </w:rPr>
        <w:t>Podwójne obciążenia lub utworzenie duplikatów zamówień z powodu anomalii systemowych lub płatności, gdzie zduplikowane kwoty nie prowadzą do żadnych dodatkowych praw lub korzyści zatrzymanych przez użytkownika;</w:t>
      </w:r>
    </w:p>
    <w:p>
      <w:pPr>
        <w:pStyle w:val="ListBullet"/>
        <w:keepLines w:val="0"/>
      </w:pPr>
      <w:r>
        <w:rPr>
          <w:rFonts w:ascii="Noto Sans" w:hAnsi="Noto Sans" w:eastAsia="Arial Unicode MS" w:cs="Noto Sans"/>
          <w:b w:val="0"/>
        </w:rPr>
        <w:t>Płatność została pomyślnie zakończona, ale produkt nie został dostarczony w rozsądnym czasie, a problemu nie można rozwiązać poprzez wymianę;</w:t>
      </w:r>
    </w:p>
    <w:p>
      <w:pPr>
        <w:pStyle w:val="ListBullet"/>
        <w:keepLines w:val="0"/>
      </w:pPr>
      <w:r>
        <w:rPr>
          <w:rFonts w:ascii="Noto Sans" w:hAnsi="Noto Sans" w:eastAsia="Arial Unicode MS" w:cs="Noto Sans"/>
          <w:b w:val="0"/>
        </w:rPr>
        <w:t>Rzeczywista dostarczona treść różni się od jawnie ujawnionej na stronie zakupu produktu;</w:t>
      </w:r>
    </w:p>
    <w:p>
      <w:pPr>
        <w:pStyle w:val="ListBullet"/>
        <w:keepLines w:val="0"/>
      </w:pPr>
      <w:r>
        <w:rPr>
          <w:rFonts w:ascii="Noto Sans" w:hAnsi="Noto Sans" w:eastAsia="Arial Unicode MS" w:cs="Noto Sans"/>
          <w:b w:val="0"/>
        </w:rPr>
        <w:t>Ze względu na błędy techniczne DAWNBLOOM prowadzące do błędów zamówień, abnormalnego zużycia, nieprawidłowej aktywacji lub niemożności normalnego użytkowania, a takich problemów nie można naprawić, aby przywrócić słuszne uprawnienia użytkownika;</w:t>
      </w:r>
    </w:p>
    <w:p>
      <w:pPr>
        <w:pStyle w:val="ListBullet"/>
        <w:keepLines w:val="0"/>
      </w:pPr>
      <w:r>
        <w:rPr>
          <w:rFonts w:ascii="Noto Sans" w:hAnsi="Noto Sans" w:eastAsia="Arial Unicode MS" w:cs="Noto Sans"/>
          <w:b w:val="0"/>
        </w:rPr>
        <w:t>Płatność jest nieautoryzowana, a obowiązujące przepisy prawa, zasady sieci płatniczych lub wymogi sądowe i regulacyjne nakazują zwrot środków;</w:t>
      </w:r>
    </w:p>
    <w:p>
      <w:pPr>
        <w:pStyle w:val="ListBullet"/>
        <w:keepLines w:val="0"/>
      </w:pPr>
      <w:r>
        <w:rPr>
          <w:rFonts w:ascii="Noto Sans" w:hAnsi="Noto Sans" w:eastAsia="Arial Unicode MS" w:cs="Noto Sans"/>
          <w:b w:val="0"/>
        </w:rPr>
        <w:t>Inne okoliczności przewidziane w obowiązującym prawie wymagające zwrotu środków, anulowania, rozwiązania umowy lub równoważnego środka zaradczego.</w:t>
      </w:r>
    </w:p>
    <w:p>
      <w:pPr>
        <w:pStyle w:val="Heading1"/>
        <w:keepLines w:val="0"/>
      </w:pPr>
      <w:r>
        <w:rPr>
          <w:rFonts w:ascii="Noto Sans" w:hAnsi="Noto Sans" w:eastAsia="Arial Unicode MS" w:cs="Noto Sans"/>
          <w:b w:val="0"/>
        </w:rPr>
        <w:t>4.2 Ogólne okoliczności niestanowiące podstawy do dobrowolnego zwrotu</w:t>
      </w:r>
    </w:p>
    <w:p>
      <w:pPr>
        <w:pStyle w:val="ListBullet"/>
        <w:keepLines w:val="0"/>
      </w:pPr>
      <w:r>
        <w:rPr>
          <w:rFonts w:ascii="Noto Sans" w:hAnsi="Noto Sans" w:eastAsia="Arial Unicode MS" w:cs="Noto Sans"/>
          <w:b w:val="0"/>
        </w:rPr>
        <w:t>Użytkownik po prostu zmienił zdanie po zakupie, a towary cyfrowe zostały już natychmiast dostarczone, aktywowane, odebrane, zużyte, wymienione, przeniesione lub w inny sposób istotnie wykorzystane;</w:t>
      </w:r>
    </w:p>
    <w:p>
      <w:pPr>
        <w:pStyle w:val="ListBullet"/>
        <w:keepLines w:val="0"/>
      </w:pPr>
      <w:r>
        <w:rPr>
          <w:rFonts w:ascii="Noto Sans" w:hAnsi="Noto Sans" w:eastAsia="Arial Unicode MS" w:cs="Noto Sans"/>
          <w:b w:val="0"/>
        </w:rPr>
        <w:t>Użytkownik żąda zwrotu środków wyłącznie dlatego, że nie otrzymał konkretnego przedmiotu, którego się spodziewał, mimo że losowy skrzynia działała normalnie zgodnie z rzeczywistymi prawdopodobieństwami i zasadami ujawnionymi w momencie zakupu;</w:t>
      </w:r>
    </w:p>
    <w:p>
      <w:pPr>
        <w:pStyle w:val="ListBullet"/>
        <w:keepLines w:val="0"/>
      </w:pPr>
      <w:r>
        <w:rPr>
          <w:rFonts w:ascii="Noto Sans" w:hAnsi="Noto Sans" w:eastAsia="Arial Unicode MS" w:cs="Noto Sans"/>
          <w:b w:val="0"/>
        </w:rPr>
        <w:t>Problemy techniczne wynikające z urządzenia użytkownika, sieci, wtyczek osób trzecich lub nieoficjalnego klienta, gdzie produkt został poprawnie dostarczony;</w:t>
      </w:r>
    </w:p>
    <w:p>
      <w:pPr>
        <w:pStyle w:val="ListBullet"/>
        <w:keepLines w:val="0"/>
      </w:pPr>
      <w:r>
        <w:rPr>
          <w:rFonts w:ascii="Noto Sans" w:hAnsi="Noto Sans" w:eastAsia="Arial Unicode MS" w:cs="Noto Sans"/>
          <w:b w:val="0"/>
        </w:rPr>
        <w:t>Nielegalne zyski, kopie przedmiotów, nagrody uzyskane w wyniku oszustwa lub zyski obtained fraudulentnie, które prawnie lub zgodnie z zasadami zostały odzyskane od użytkownika z powodu naruszenia „Zasady Graczy i Polityka Egzekwowania”;</w:t>
      </w:r>
    </w:p>
    <w:p>
      <w:pPr>
        <w:pStyle w:val="ListBullet"/>
        <w:keepLines w:val="0"/>
      </w:pPr>
      <w:r>
        <w:rPr>
          <w:rFonts w:ascii="Noto Sans" w:hAnsi="Noto Sans" w:eastAsia="Arial Unicode MS" w:cs="Noto Sans"/>
          <w:b w:val="0"/>
        </w:rPr>
        <w:t>Spory wynikające z zakupów dokonanych za pośrednictwem nieautoryzowanych kanałów, doładowań osób trzecich, czarnych kart, nieautoryzowanego ściegania, odsprzedaży przez osoby trzecie lub innych nieautoryzowanych transakcji.</w:t>
      </w:r>
    </w:p>
    <w:p>
      <w:pPr>
        <w:keepLines w:val="0"/>
      </w:pPr>
      <w:r>
        <w:rPr>
          <w:rFonts w:ascii="Noto Sans" w:hAnsi="Noto Sans" w:eastAsia="Arial Unicode MS" w:cs="Noto Sans"/>
          <w:b w:val="0"/>
        </w:rPr>
        <w:t>Powyższe „ogólne okoliczności niestanowiące dobrowolnego zwrotu środków” odzwierciedlają jedynie standardowe handlowe warunki zwrotu środków DAWNBLOOM i nie wykluczają ustawowych praw użytkownika do odstąpienia od umowy, zwrotu środków, rozwiązania umowy lub roszczeń o odszkodowanie zgodnie z obowiązującym prawem.</w:t>
      </w:r>
    </w:p>
    <w:p>
      <w:pPr>
        <w:pStyle w:val="Heading1"/>
        <w:keepLines w:val="0"/>
      </w:pPr>
      <w:r>
        <w:rPr>
          <w:rFonts w:ascii="Noto Sans" w:hAnsi="Noto Sans" w:eastAsia="Arial Unicode MS" w:cs="Noto Sans"/>
          <w:b w:val="0"/>
        </w:rPr>
        <w:t>4.3 Nieotwarte/nieużywane towary cyfrowe</w:t>
      </w:r>
    </w:p>
    <w:p>
      <w:pPr>
        <w:keepLines w:val="0"/>
      </w:pPr>
      <w:r>
        <w:rPr>
          <w:rFonts w:ascii="Noto Sans" w:hAnsi="Noto Sans" w:eastAsia="Arial Unicode MS" w:cs="Noto Sans"/>
          <w:b w:val="0"/>
        </w:rPr>
        <w:t>W przypadku towarów cyfrowych zakupionych bezpośrednio na oficjalnej stronie internetowej i nadal w pełni przechowywanych w kontach zakupowych, niewykorzystanych, nieodebranych, nieużywanych, niewymienionych ani nieprzeniesionych, użytkownicy mogą złożyć wniosek o zwrot środków. Oceniszmy, czy przyjąć zwrot środków, biorąc pod uwagę kanał płatności, czas zakupu, charakter towarów, techniczną możliwość odzyskania oraz obowiązujące prawo lokalne. Jeśli prawo lokalne wymaga bardziej specyficznych praw do zwrotu lub odstąpienia, takie prawa mają pierwszeństwo.</w:t>
      </w:r>
    </w:p>
    <w:p>
      <w:pPr>
        <w:pStyle w:val="Heading1"/>
        <w:keepLines w:val="0"/>
      </w:pPr>
      <w:r>
        <w:rPr>
          <w:rFonts w:ascii="Noto Sans" w:hAnsi="Noto Sans" w:eastAsia="Arial Unicode MS" w:cs="Noto Sans"/>
          <w:b w:val="0"/>
        </w:rPr>
        <w:t>5. Specjalne zasady dla przedmiotów z losowymi pudełkami</w:t>
      </w:r>
    </w:p>
    <w:p>
      <w:pPr>
        <w:pStyle w:val="Heading1"/>
        <w:keepLines w:val="0"/>
      </w:pPr>
      <w:r>
        <w:rPr>
          <w:rFonts w:ascii="Noto Sans" w:hAnsi="Noto Sans" w:eastAsia="Arial Unicode MS" w:cs="Noto Sans"/>
          <w:b w:val="0"/>
        </w:rPr>
        <w:t>5.1 Ujawnienie prawdopodobieństwa i puli nagród</w:t>
      </w:r>
    </w:p>
    <w:p>
      <w:pPr>
        <w:keepLines w:val="0"/>
      </w:pPr>
      <w:r>
        <w:rPr>
          <w:rFonts w:ascii="Noto Sans" w:hAnsi="Noto Sans" w:eastAsia="Arial Unicode MS" w:cs="Noto Sans"/>
          <w:b w:val="0"/>
        </w:rPr>
        <w:t>Strona szczegółów produktu dla losowych skrzyń skarbów musi wyraźnie wyświetlać potencjalną zawartość, prawdopodobieństwa lub reguły prawdopodobieństwa, wszelkie konieczne mechanizmy progu/postępujące (jeśli dotyczy), specyfikacje ilości lub rzadkości, stosowane wersje i daty wejścia w życie przed zakupem. Jeśli zasady zostaną zmienione, należy wdrożyć system zarządzania z pełną historią zarówno dla starej, jak i nowej wersji.</w:t>
      </w:r>
    </w:p>
    <w:p>
      <w:pPr>
        <w:keepLines w:val="0"/>
      </w:pPr>
      <w:r>
        <w:rPr>
          <w:rFonts w:ascii="Noto Sans" w:hAnsi="Noto Sans" w:eastAsia="Arial Unicode MS" w:cs="Noto Sans"/>
          <w:b w:val="0"/>
        </w:rPr>
        <w:t>W przypadku towarów cyfrowych już zakupionych i działających według konkretnej wersji zasad, żadne nieujawnione mechanizmy backendowe nie mogą zmieniać ustalonych zasad prawdopodobieństwa stosowanych do danego zamówienia w sposób niekorzystny dla użytkownika.</w:t>
      </w:r>
    </w:p>
    <w:p>
      <w:pPr>
        <w:pStyle w:val="Heading1"/>
        <w:keepLines w:val="0"/>
      </w:pPr>
      <w:r>
        <w:rPr>
          <w:rFonts w:ascii="Noto Sans" w:hAnsi="Noto Sans" w:eastAsia="Arial Unicode MS" w:cs="Noto Sans"/>
          <w:b w:val="0"/>
        </w:rPr>
        <w:t>5.2 Zwrot po aktywacji</w:t>
      </w:r>
    </w:p>
    <w:p>
      <w:pPr>
        <w:keepLines w:val="0"/>
      </w:pPr>
      <w:r>
        <w:rPr>
          <w:rFonts w:ascii="Noto Sans" w:hAnsi="Noto Sans" w:eastAsia="Arial Unicode MS" w:cs="Noto Sans"/>
          <w:b w:val="0"/>
        </w:rPr>
        <w:t>Po normalnym otwarciu losowej skrzyni z skarbem i wygenerowaniu wyniku, sam wynik generalnie nie stanowi ważnej podstawy do zwrotu pieniędzy. W przypadku wystąpienia problemów takich jak nieprawidłowe ujawnienie prawdopodobieństwa, niespójność między rzeczywistą logiką losowania a ujawnionymi zasadami, błędna konfiguracja puli przedmiotów, nadmierne zużycie systemu lub inne przyczyny operacyjne, zapewnimy odpowiednie środki zaradcze – w tym naprawy, rekompensaty, ponowne dostarczenie lub zwroty – w oparciu o zakres wpływu, techniczną odzyskiwalność oraz obowiązujące przepisy prawa.</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Zgodnie z obecnie dostępnymi oficjalnymi dokumentami regulacyjnymi dotyczącymi gier online w Chinach, rozgrywka obejmująca losowe nagrody, która bezpośrednio wiąże się z wprowadzeniem legalnej waluty lub wirtualnej waluty gry, podlega wyraźnym ograniczeniom regulacyjnym. Tego typu mechanizmy wymagają jawnego ujawnienia prawdopodobieństwa, przechowywania rekordów oraz innych środków zgodności. Dlatego funkcja „bezpośredniego płatnego losowania skrzyń z skarbami” nie powinna być uruchamiana wyłącznie na podstawie tych warunków na terenie Chin kontynentalnych; przed oficjalną sprzedażą należy przeprowadzić dedykowaną analizę prawną i zgodności. Jeśli taki mechanizm sprzedaży jest zabroniony przez obowiązujące zasady, funkcja musi zostać wyłączona lub przekształcona w alternatywny mechanizm pozyskiwania, który został niezależnie zweryfikowany jako zgodny.</w:t>
            </w:r>
          </w:p>
        </w:tc>
      </w:tr>
    </w:tbl>
    <w:p>
      <w:pPr>
        <w:spacing w:after="40"/>
      </w:pPr>
    </w:p>
    <w:p>
      <w:pPr>
        <w:pStyle w:val="Heading1"/>
        <w:keepLines w:val="0"/>
      </w:pPr>
      <w:r>
        <w:rPr>
          <w:rFonts w:ascii="Noto Sans" w:hAnsi="Noto Sans" w:eastAsia="Arial Unicode MS" w:cs="Noto Sans"/>
          <w:b w:val="0"/>
        </w:rPr>
        <w:t>5.3 Prowadzenie dokumentacji i weryfikacja sporów</w:t>
      </w:r>
    </w:p>
    <w:p>
      <w:pPr>
        <w:keepLines w:val="0"/>
      </w:pPr>
      <w:r>
        <w:rPr>
          <w:rFonts w:ascii="Noto Sans" w:hAnsi="Noto Sans" w:eastAsia="Arial Unicode MS" w:cs="Noto Sans"/>
          <w:b w:val="0"/>
        </w:rPr>
        <w:t>W przypadku towarów typu losowego będziemy przechowywać niezbędne zapisy zamówień, informacje o wersji, wyniki otwierania oraz zasady prawdopodobieństwa przez okres wymagany przez obowiązujące przepisy prawa i warunki techniczne, w celu audytów, zapytań regulacyjnych, sporów obsługi klienta i rozwiązywania sporów. Na terenie Chin kontynentalnych, jeśli podlegają one odpowiednim wymogom publicznego nadzoru, okres przechowywania losowo wybranych rekordów oraz transakcji płatniczych/doładowań nie może być krótszy niż wymagania ustawowe lub regulacyjne.</w:t>
      </w:r>
    </w:p>
    <w:p>
      <w:pPr>
        <w:pStyle w:val="Heading1"/>
        <w:keepLines w:val="0"/>
      </w:pPr>
      <w:r>
        <w:rPr>
          <w:rFonts w:ascii="Noto Sans" w:hAnsi="Noto Sans" w:eastAsia="Arial Unicode MS" w:cs="Noto Sans"/>
          <w:b w:val="0"/>
        </w:rPr>
        <w:t>6. Zwrot za zamówienia na platformach zewnętrznych</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W przypadku zakupów w aplikacji dokonanych poprzez Apple App Store, użytkownicy są proszeni o inicjowanie wniosków o zwrot pieniędzy za pośrednictwem wyznaczonego portalu zwrotów Apple lub kontaktując się z obsługą klienta Apple. Decyzja o zatwierdzeniu zwrotu, termin zwrotu oraz proces zwrotu będą określane przez Apple zgodnie z jego własnymi regułami, specyfiką zamówienia oraz obowiązującym prawem. Po otrzymaniu powiadomienia o zwrocie ze strony App Store, DAWNBLOOM może, zgodnie z prawem i jego wewnętrznymi regułami, cofnąć odpowiednie prawa cyfrowe związane z takim zamówieniem o zwrot.</w:t>
      </w:r>
    </w:p>
    <w:p>
      <w:pPr>
        <w:keepLines w:val="0"/>
      </w:pPr>
      <w:r>
        <w:rPr>
          <w:rFonts w:ascii="Noto Sans" w:hAnsi="Noto Sans" w:eastAsia="Arial Unicode MS" w:cs="Noto Sans"/>
          <w:b w:val="0"/>
        </w:rPr>
        <w:t>Opłaty platformy Apple lub opłaty za usługi są częścią ugody między deweloperem a Apple i nie stanowią uzasadnienia do potrącania zwrotów użytkownikom w stałej stawce, takiej jak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W przypadku zakupu gry podstawowej, DLC lub przedmiotów w grze przez Steam, zwroty muszą być zgłaszane poprzez Obsługę Klienta Steam i jego system zwrotów. Steam zazwyczaj zapewnia 14-dniowe okno na zwroty dla gry podstawowej, pod warunkiem że gracz grał mniej niż dwie godziny; kwalifikowalność i konkretne warunki zakupów w grze zależą od polityki Steam oraz od tego, czy deweloper włączył zwroty dla danego przedmiotu. Rzeczywiste polityki zwrotów podlegają zasadom i informacjom na stronie wyświetlanym aktualnie na Steam.</w:t>
      </w:r>
    </w:p>
    <w:p>
      <w:pPr>
        <w:pStyle w:val="Heading1"/>
        <w:keepLines w:val="0"/>
      </w:pPr>
      <w:r>
        <w:rPr>
          <w:rFonts w:ascii="Noto Sans" w:hAnsi="Noto Sans" w:eastAsia="Arial Unicode MS" w:cs="Noto Sans"/>
          <w:b w:val="0"/>
        </w:rPr>
        <w:t>6.3 Google Play (jeśli nastąpi przyszła integracja)</w:t>
      </w:r>
    </w:p>
    <w:p>
      <w:pPr>
        <w:keepLines w:val="0"/>
      </w:pPr>
      <w:r>
        <w:rPr>
          <w:rFonts w:ascii="Noto Sans" w:hAnsi="Noto Sans" w:eastAsia="Arial Unicode MS" w:cs="Noto Sans"/>
          <w:b w:val="0"/>
        </w:rPr>
        <w:t>Jeśli przyszłościowo zostaną oferowane zakupy w aplikacji poprzez Google Play, takie zwroty będą podlegać politykom zwrotów Google Play. Google Play może zezwolić na żądania zwrotów dla niektórych aplikacji, gier lub zakupów w aplikacji w ciągu 48 godzin od zakupu; po tym okresie użytkownicy mogą musieć skontaktować się bezpośrednio z deweloperem. Konkretne warunki i postanowienia będą regulowane przez aktualne wtedy polityki Google Play i stosowne prawo.</w:t>
      </w:r>
    </w:p>
    <w:p>
      <w:pPr>
        <w:pStyle w:val="Heading1"/>
        <w:keepLines w:val="0"/>
      </w:pPr>
      <w:r>
        <w:rPr>
          <w:rFonts w:ascii="Noto Sans" w:hAnsi="Noto Sans" w:eastAsia="Arial Unicode MS" w:cs="Noto Sans"/>
          <w:b w:val="0"/>
        </w:rPr>
        <w:t>6.4 Zamówienia na platformach i zamówienia na oficjalnej stronie internetowej są odrębne</w:t>
      </w:r>
    </w:p>
    <w:p>
      <w:pPr>
        <w:keepLines w:val="0"/>
      </w:pPr>
      <w:r>
        <w:rPr>
          <w:rFonts w:ascii="Noto Sans" w:hAnsi="Noto Sans" w:eastAsia="Arial Unicode MS" w:cs="Noto Sans"/>
          <w:b w:val="0"/>
        </w:rPr>
        <w:t>Każdy kanał płatności i dystrybucji utrzymuje własny numer zamówienia i system rozliczeń. Oficjalna obsługa klienta strony internetowej nie może zastąpić Apple, Steam ani Google w podejmowaniu decyzji o zwrotach na poziomie platformy dotyczących zamówień na ich odpowiednich platformach; jednakże dostarczymy niezbędną pomoc – taką jak status dostawy, status zużycia i weryfikacja techniczna – w ramach ram prawnych i platformowych.</w:t>
      </w:r>
    </w:p>
    <w:p>
      <w:pPr>
        <w:pStyle w:val="Heading1"/>
        <w:keepLines w:val="0"/>
      </w:pPr>
      <w:r>
        <w:rPr>
          <w:rFonts w:ascii="Noto Sans" w:hAnsi="Noto Sans" w:eastAsia="Arial Unicode MS" w:cs="Noto Sans"/>
          <w:b w:val="0"/>
        </w:rPr>
        <w:t>7. Nieletni i nieautoryzowane zakupy</w:t>
      </w:r>
    </w:p>
    <w:p>
      <w:pPr>
        <w:keepLines w:val="0"/>
      </w:pPr>
      <w:r>
        <w:rPr>
          <w:rFonts w:ascii="Noto Sans" w:hAnsi="Noto Sans" w:eastAsia="Arial Unicode MS" w:cs="Noto Sans"/>
          <w:b w:val="0"/>
        </w:rPr>
        <w:t>Usługa przeznaczona jest dla dorosłych w wieku 18 lat lub starszych. Opiekun może ubiegać się o przegląd zakupu dokonanego przez małoletniego bez ważnej zgody lub autoryzacji. Oceniamy prawo, zdolność prawną, dowody zamówienia, opiekunostwo, zasady platformy i rzeczywiste użycie. Powiązane konto gry wchodzi w permanentne ograniczenie usługi gry tylko po weryfikacji zakupu związanego z małoletnim, zatwierdzeniu pełnego lub zasadniczo pełnego zwrotu i faktycznym zakończeniu tego zwrotu. Zgłoszenie, oczekujące na review, częściowy zwrot lub zwykły zwrot go nie wywołuje.</w:t>
      </w:r>
    </w:p>
    <w:p>
      <w:pPr>
        <w:pStyle w:val="Heading1"/>
        <w:keepLines w:val="0"/>
      </w:pPr>
      <w:r>
        <w:rPr>
          <w:rFonts w:ascii="Noto Sans" w:hAnsi="Noto Sans" w:eastAsia="Arial Unicode MS" w:cs="Noto Sans"/>
          <w:b w:val="0"/>
        </w:rPr>
        <w:t>7.1 Materiały aplikacyjne i zasada minimalnej konieczności</w:t>
      </w:r>
    </w:p>
    <w:p>
      <w:pPr>
        <w:keepLines w:val="0"/>
      </w:pPr>
      <w:r>
        <w:rPr>
          <w:rFonts w:ascii="Noto Sans" w:hAnsi="Noto Sans" w:eastAsia="Arial Unicode MS" w:cs="Noto Sans"/>
          <w:b w:val="0"/>
        </w:rPr>
        <w:t>Możemy żądać niezbędnych materiałów do weryfikacji zamówień, kont, wieku małoletnich, relacji opiekuńczych i faktów bez autoryzacji. Użytkownicy mogą maskować lub przetwarzać poufne informacje nieistotne dla celu weryfikacji. Nie będziemy nieuzasadnionie przechowywać kompletnych numerów ID lub zdjęć ID przez dłuższy czas w związku z przetwarzaniem zwrotów dla małoletnich.</w:t>
      </w:r>
    </w:p>
    <w:p>
      <w:pPr>
        <w:pStyle w:val="Heading1"/>
        <w:keepLines w:val="0"/>
      </w:pPr>
      <w:r>
        <w:rPr>
          <w:rFonts w:ascii="Noto Sans" w:hAnsi="Noto Sans" w:eastAsia="Arial Unicode MS" w:cs="Noto Sans"/>
          <w:b w:val="0"/>
        </w:rPr>
        <w:t>7.2 Nie ustanowiono stałego limitu zwrotu w wysokości 70%</w:t>
      </w:r>
    </w:p>
    <w:p>
      <w:pPr>
        <w:keepLines w:val="0"/>
      </w:pPr>
      <w:r>
        <w:rPr>
          <w:rFonts w:ascii="Noto Sans" w:hAnsi="Noto Sans" w:eastAsia="Arial Unicode MS" w:cs="Noto Sans"/>
          <w:b w:val="0"/>
        </w:rPr>
        <w:t>Zwroty za drobne zakupy nie mają ustalonego limitu na poziomie 70% ani automatycznego potrącenia na rzecz prowizji platformy. Zatwierdzone zwroty realizowane są w oryginalnej walucie transakcji i rzeczywistej zapłaconej kwocie, bez przeliczania po kursie z dnia zwrotu. Następne ograniczenie konta w grze nie zmniejsza żadnego prawnie zatwierdzonego zwrotu.</w:t>
      </w:r>
    </w:p>
    <w:p>
      <w:pPr>
        <w:pStyle w:val="Heading1"/>
        <w:keepLines w:val="0"/>
      </w:pPr>
      <w:r>
        <w:rPr>
          <w:rFonts w:ascii="Noto Sans" w:hAnsi="Noto Sans" w:eastAsia="Arial Unicode MS" w:cs="Noto Sans"/>
          <w:b w:val="0"/>
        </w:rPr>
        <w:t>7.3 Region Chin kontynentalnych</w:t>
      </w:r>
    </w:p>
    <w:p>
      <w:pPr>
        <w:keepLines w:val="0"/>
      </w:pPr>
      <w:r>
        <w:rPr>
          <w:rFonts w:ascii="Noto Sans" w:hAnsi="Noto Sans" w:eastAsia="Arial Unicode MS" w:cs="Noto Sans"/>
          <w:b w:val="0"/>
        </w:rPr>
        <w:t>Spory dotyczące konsumpcji osób nieletnich na terenie Chin kontynentalnych będą rozpatrywane zgodnie z Kodeksem cywilnym, przepisami ochrony konsumentów, wymogami ochrony gier online dla nieletnich oraz praktyką sądową. W przypadkach, gdy można udowodnić, że dana osoba jest nieletnim, który dokonał zakupów bez zgody opiekuna, a jego wydatki znacznie przekraczają jego wiek i zdolność poznawczą, będziemy współpracować ze środkami prawnymi zgodnie z wymogami prawa. W przypadkach, gdy opiekunowie nieprawidłowo zarządzają narzędziami płatniczymi, dzielą się kontami lub wykazują długotrwałe zaniedbanie, takie zachowanie może zostać uznane za mieszczące się w zakresie oceny odpowiedzialności.</w:t>
      </w:r>
    </w:p>
    <w:p>
      <w:pPr>
        <w:pStyle w:val="Heading1"/>
        <w:keepLines w:val="0"/>
      </w:pPr>
      <w:r>
        <w:rPr>
          <w:rFonts w:ascii="Noto Sans" w:hAnsi="Noto Sans" w:eastAsia="Arial Unicode MS" w:cs="Noto Sans"/>
          <w:b w:val="0"/>
        </w:rPr>
        <w:t>7.4 Stany Zjednoczone i Japonia</w:t>
      </w:r>
    </w:p>
    <w:p>
      <w:pPr>
        <w:keepLines w:val="0"/>
      </w:pPr>
      <w:r>
        <w:rPr>
          <w:rFonts w:ascii="Noto Sans" w:hAnsi="Noto Sans" w:eastAsia="Arial Unicode MS" w:cs="Noto Sans"/>
          <w:b w:val="0"/>
        </w:rPr>
        <w:t>Zakupy dokonane przez użytkowników USA bez autoryzacji lub z powodu pomyłek członków rodziny będą rozpatrywane zgodnie z zasadami platformy płatniczej, obowiązującym prawem stanowym oraz federalnymi regulacjami ochrony konsumentów. W regionie Japonii osoby powyżej 18 roku życia uważa się za pełnoletnie; umowy zawarte przez osoby poniżej 18 roku życia bez zgody prawnego opiekuna oraz związane z nimi prawa do odwołania będą regulowane przez japoński kodeks cywilny oraz przepisy ochrony konsumentów.</w:t>
      </w:r>
    </w:p>
    <w:p>
      <w:pPr>
        <w:pStyle w:val="Heading1"/>
        <w:keepLines w:val="0"/>
      </w:pPr>
      <w:r>
        <w:rPr>
          <w:rFonts w:ascii="Noto Sans" w:hAnsi="Noto Sans" w:eastAsia="Arial Unicode MS" w:cs="Noto Sans"/>
          <w:b w:val="0"/>
        </w:rPr>
        <w:t>8. Nieautoryzowane płatności, oszustwa transakcyjne i spory (chargebacki)</w:t>
      </w:r>
    </w:p>
    <w:p>
      <w:pPr>
        <w:keepLines w:val="0"/>
      </w:pPr>
      <w:r>
        <w:rPr>
          <w:rFonts w:ascii="Noto Sans" w:hAnsi="Noto Sans" w:eastAsia="Arial Unicode MS" w:cs="Noto Sans"/>
          <w:b w:val="0"/>
        </w:rPr>
        <w:t>Jeśli odkryjesz podejrzane nieautoryzowane transakcje, nieautoryzowane płatności lub nieautoryzowane użycie swojego konta płatniczego, niezwłocznie skontaktuj się z dostawcą płatności i obsługą klienta DAWNBLOOM, podając numer zamówienia oraz wszelkie odpowiednie szczegóły. W przypadku zamówień złożonych poprzez platformy trzecie, takie jak karty bankowe, Apple, Google lub Steam, musisz również zgłosić spór zgodnie z określonymi terminami odpowiedniej sieci płatniczej lub platformy.</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Dobroczynne żądanie zwrotu lub prawdziwy spór płatniczy sam w sobie nie jest podstawą do kary w grze. Prawa powiązane z przedmiotowym zamówieniem mogą być chronione podczas przeglądu. Tylko zwrot w całości lub istotnie w całości związany z nieletnim, opisany w Sekcji 7, który został zweryfikowany i zakończony, uruchamia jego osobne ograniczenie usługi gry; inne zwroty nie powodują automatycznie permanentnego bana.</w:t>
      </w:r>
    </w:p>
    <w:p>
      <w:pPr>
        <w:keepLines w:val="0"/>
      </w:pPr>
      <w:r>
        <w:rPr>
          <w:rFonts w:ascii="Noto Sans" w:hAnsi="Noto Sans" w:eastAsia="Arial Unicode MS" w:cs="Noto Sans"/>
          <w:b w:val="0"/>
        </w:rPr>
        <w:t>Jeśli dowody potwierdzą celowe niezapłacenie, zakup za pomocą czarnych kart, transfer/wypłatę aktywów wirtualnych po zwrocie środków, oszustwo oparte na współpracy lub inne nadużycie mechanizmu zwrotu, takie zachowanie zostanie rozpatrzone zgodnie z „Zasadami Graczy i Polityką Egzekwowania”, a firma zastrzega sobie prawo do dochodzenia roszczeń prawnych, nakładania ograniczeń transakcyjnych oraz ponoszenia odpowiedzialności prawnej.</w:t>
      </w:r>
    </w:p>
    <w:p>
      <w:pPr>
        <w:pStyle w:val="Heading1"/>
        <w:keepLines w:val="0"/>
      </w:pPr>
      <w:r>
        <w:rPr>
          <w:rFonts w:ascii="Noto Sans" w:hAnsi="Noto Sans" w:eastAsia="Arial Unicode MS" w:cs="Noto Sans"/>
          <w:b w:val="0"/>
        </w:rPr>
        <w:t>9. Odzyskiwanie praw wirtualnych i korekta danych po zwrocie</w:t>
      </w:r>
    </w:p>
    <w:p>
      <w:pPr>
        <w:keepLines w:val="0"/>
      </w:pPr>
      <w:r>
        <w:rPr>
          <w:rFonts w:ascii="Noto Sans" w:hAnsi="Noto Sans" w:eastAsia="Arial Unicode MS" w:cs="Noto Sans"/>
          <w:b w:val="0"/>
        </w:rPr>
        <w:t>W przypadku pełnego lub częściowego zwrotu środków, anulowania, odrzucenia płatności lub cofnięcia transakcji, operator zastrzega sobie prawo do cofnięcia odpowiadających uprawnień cyfrowych w zakresie dopuszczalnym przez prawo i regulaminy platformy, aby zapobiec sytuacji, w której użytkownicy zatrzymają zarówno zwrocone środki, jak i odpowiadające im dobra cyfrowe.</w:t>
      </w:r>
    </w:p>
    <w:p>
      <w:pPr>
        <w:pStyle w:val="ListBullet"/>
        <w:keepLines w:val="0"/>
      </w:pPr>
      <w:r>
        <w:rPr>
          <w:rFonts w:ascii="Noto Sans" w:hAnsi="Noto Sans" w:eastAsia="Arial Unicode MS" w:cs="Noto Sans"/>
          <w:b w:val="0"/>
        </w:rPr>
        <w:t>Nieotwarte lub nieużywane skrzynki lub przedmioty mogą być bezpośrednio odzyskane z konta kupującego;</w:t>
      </w:r>
    </w:p>
    <w:p>
      <w:pPr>
        <w:pStyle w:val="ListBullet"/>
        <w:keepLines w:val="0"/>
      </w:pPr>
      <w:r>
        <w:rPr>
          <w:rFonts w:ascii="Noto Sans" w:hAnsi="Noto Sans" w:eastAsia="Arial Unicode MS" w:cs="Noto Sans"/>
          <w:b w:val="0"/>
        </w:rPr>
        <w:t>Przedmioty, które zostały wymienione lub przekształcone w inne przedmioty wirtualne, waluty, atrybuty lub usługi, mogą mieć swoje bezpośrednio identyfikowalne pochodne odzyskane;</w:t>
      </w:r>
    </w:p>
    <w:p>
      <w:pPr>
        <w:pStyle w:val="ListBullet"/>
        <w:keepLines w:val="0"/>
      </w:pPr>
      <w:r>
        <w:rPr>
          <w:rFonts w:ascii="Noto Sans" w:hAnsi="Noto Sans" w:eastAsia="Arial Unicode MS" w:cs="Noto Sans"/>
          <w:b w:val="0"/>
        </w:rPr>
        <w:t>Jeśli bezpośredni produkt uboczny został już zużyty lub wiąże się ze złożonym transferem, może zostać wdrożona równoważna odzyskiwanie na podstawie weryfikowalnej rzeczywistej wartości, zamrożenie powiązanych przedmiotów, ograniczenie związanych transakcji lub dostosowanie odpowiednich wartości;</w:t>
      </w:r>
    </w:p>
    <w:p>
      <w:pPr>
        <w:pStyle w:val="ListBullet"/>
        <w:keepLines w:val="0"/>
      </w:pPr>
      <w:r>
        <w:rPr>
          <w:rFonts w:ascii="Noto Sans" w:hAnsi="Noto Sans" w:eastAsia="Arial Unicode MS" w:cs="Noto Sans"/>
          <w:b w:val="0"/>
        </w:rPr>
        <w:t xml:space="preserve">Gracze będący osobami trzecimi, działający w dobrej wierze, których transakcje nie są związane z zamówieniem objętym zwrotem i wobec których nie ma dowodów udziału w oszustwie, nie podlegają automatycznie karze wyłącznie za otrzymanie przedmiotów w ramach zwykłej transakcji. Nietypowe łańcuchy transakcji, powielone przedmioty lub korzyści z oszustwa mogą jednak zostać odrębnie zbadane zgodnie z Zasadami Gracza.</w:t>
      </w:r>
    </w:p>
    <w:p>
      <w:pPr>
        <w:keepLines w:val="0"/>
      </w:pPr>
      <w:r>
        <w:rPr>
          <w:rFonts w:ascii="Noto Sans" w:hAnsi="Noto Sans" w:eastAsia="Arial Unicode MS" w:cs="Noto Sans"/>
          <w:b w:val="0"/>
        </w:rPr>
        <w:t>," oraz badane osobno. Odzyskanie uprawnień dotyczy zamówienia na zwrot i śledzonych przychodów pokrewnych, bez zmniejszania prawnie należnych zwrotów. Po ukończeniu małego zwrotu opisanego w Sekcji 7, powiązane konto gry otrzymuje również stałe ograniczenie usług, aby zapobiec dalszym zakupom, handlowi wirtualnemu i związanym sporom. Inne aplikacje DAWNBLOOM Account nie są automatycznie ograniczone.</w:t>
      </w:r>
    </w:p>
    <w:p>
      <w:pPr>
        <w:pStyle w:val="Heading1"/>
        <w:keepLines w:val="0"/>
      </w:pPr>
      <w:r>
        <w:rPr>
          <w:rFonts w:ascii="Noto Sans" w:hAnsi="Noto Sans" w:eastAsia="Arial Unicode MS" w:cs="Noto Sans"/>
          <w:b w:val="0"/>
        </w:rPr>
        <w:t>10. Procedura składania wniosków o zwrot na oficjalnej stronie internetowej</w:t>
      </w:r>
    </w:p>
    <w:p>
      <w:pPr>
        <w:keepLines w:val="0"/>
      </w:pPr>
      <w:r>
        <w:rPr>
          <w:rFonts w:ascii="Noto Sans" w:hAnsi="Noto Sans" w:eastAsia="Arial Unicode MS" w:cs="Noto Sans"/>
          <w:b w:val="0"/>
        </w:rPr>
        <w:t>DAWNBLOOM Fairy może objaśniać oficjalne punkty dostępu do zamówień, zwrotów i odwołań; odpowiedź AI nie stanowi potwierdzenia zawarcia zamówienia, zatwierdzenia zwrotu, przywrócenia aktywów ani wyniku ponownego wydania świadczenia. Sprawy dotyczące konkretnych zamówień i informacji płatniczych muszą być załatwiane osobiście przez danego użytkownika w formalnej procedurze weryfikacji i oceny przez obsługę klienta. Rzeczywiste wyniki postępowania i ustawowe prawa do zwrotu nadal podlegają dotychczasowym zasadom niniejszego dokumentu i właściwemu prawu.</w:t>
      </w:r>
    </w:p>
    <w:p>
      <w:pPr>
        <w:pStyle w:val="Heading1"/>
        <w:keepLines w:val="0"/>
      </w:pPr>
      <w:r>
        <w:rPr>
          <w:rFonts w:ascii="Noto Sans" w:hAnsi="Noto Sans" w:eastAsia="Arial Unicode MS" w:cs="Noto Sans"/>
          <w:b w:val="0"/>
        </w:rPr>
        <w:t>10.1 Kanały aplikacyjne</w:t>
      </w:r>
    </w:p>
    <w:p>
      <w:pPr>
        <w:keepLines w:val="0"/>
      </w:pPr>
      <w:r>
        <w:rPr>
          <w:rFonts w:ascii="Noto Sans" w:hAnsi="Noto Sans" w:eastAsia="Arial Unicode MS" w:cs="Noto Sans"/>
          <w:b w:val="0"/>
        </w:rPr>
        <w:t xml:space="preserve">W przypadku zamówień złożonych na oficjalnej stronie internetowej pytania dotyczące płatności, faktur i wnioski o zwrot środków należy kierować do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ogólne zapytania można kierować do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W przypadku zamówień złożonych za pośrednictwem platform zewnętrznych, jeśli platforma oferuje dedykowane wejście do zwrotu środków, użytkownicy powinni priorytetowo korzystać z tego konkretnego kanału.</w:t>
      </w:r>
    </w:p>
    <w:p>
      <w:pPr>
        <w:pStyle w:val="Heading1"/>
        <w:keepLines w:val="0"/>
      </w:pPr>
      <w:r>
        <w:rPr>
          <w:rFonts w:ascii="Noto Sans" w:hAnsi="Noto Sans" w:eastAsia="Arial Unicode MS" w:cs="Noto Sans"/>
          <w:b w:val="0"/>
        </w:rPr>
        <w:t>10.2 Zalecane informacje do podania</w:t>
      </w:r>
    </w:p>
    <w:p>
      <w:pPr>
        <w:pStyle w:val="ListBullet"/>
        <w:keepLines w:val="0"/>
      </w:pPr>
      <w:r>
        <w:rPr>
          <w:rFonts w:ascii="Noto Sans" w:hAnsi="Noto Sans" w:eastAsia="Arial Unicode MS" w:cs="Noto Sans"/>
          <w:b w:val="0"/>
        </w:rPr>
        <w:t>Konto DAWNBLOOM lub dowolny niezbędny identyfikator konta dla lokalizacji zamówienia;</w:t>
      </w:r>
    </w:p>
    <w:p>
      <w:pPr>
        <w:pStyle w:val="ListBullet"/>
        <w:keepLines w:val="0"/>
      </w:pPr>
      <w:r>
        <w:rPr>
          <w:rFonts w:ascii="Noto Sans" w:hAnsi="Noto Sans" w:eastAsia="Arial Unicode MS" w:cs="Noto Sans"/>
          <w:b w:val="0"/>
        </w:rPr>
        <w:t>Numer zamówienia, data zakupu, nazwa produktu i kanał płatności;</w:t>
      </w:r>
    </w:p>
    <w:p>
      <w:pPr>
        <w:pStyle w:val="ListBullet"/>
        <w:keepLines w:val="0"/>
      </w:pPr>
      <w:r>
        <w:rPr>
          <w:rFonts w:ascii="Noto Sans" w:hAnsi="Noto Sans" w:eastAsia="Arial Unicode MS" w:cs="Noto Sans"/>
          <w:b w:val="0"/>
        </w:rPr>
        <w:t>Powód zwrotu środków, wraz z odpowiednimi zrzutami ekranu lub dowodem płatności (jeśli dostępne);</w:t>
      </w:r>
    </w:p>
    <w:p>
      <w:pPr>
        <w:pStyle w:val="ListBullet"/>
        <w:keepLines w:val="0"/>
      </w:pPr>
      <w:r>
        <w:rPr>
          <w:rFonts w:ascii="Noto Sans" w:hAnsi="Noto Sans" w:eastAsia="Arial Unicode MS" w:cs="Noto Sans"/>
          <w:b w:val="0"/>
        </w:rPr>
        <w:t>W przypadku rosznienia związanego z osobą niepełnoletnią opiekun powinien dostarczyć wyłącznie informacje niezbędne do weryfikacji wieku, opieki, rozkazów i braku autoryzacji. Przed złożeniem wniosku należy wyraźnie ujawnić, że zatwierdzone i w pełni lub w zasadniczym stopniu uzupełnione zwrot środków trwale kończy normalną usługę gry dla powiązanego konta; zwygła rozgrywka nie może tego przywrócić. Nie zmniejsza to zatwierdzonego zwrotu.</w:t>
      </w:r>
    </w:p>
    <w:p>
      <w:pPr>
        <w:pStyle w:val="ListBullet"/>
        <w:keepLines w:val="0"/>
      </w:pPr>
      <w:r>
        <w:rPr>
          <w:rFonts w:ascii="Noto Sans" w:hAnsi="Noto Sans" w:eastAsia="Arial Unicode MS" w:cs="Noto Sans"/>
          <w:b w:val="0"/>
        </w:rPr>
        <w:t>Każda dodatkowa minimalna i rozsądna informacja żądana przez obsługę klienta.</w:t>
      </w:r>
    </w:p>
    <w:p>
      <w:pPr>
        <w:pStyle w:val="Heading1"/>
        <w:keepLines w:val="0"/>
      </w:pPr>
      <w:r>
        <w:rPr>
          <w:rFonts w:ascii="Noto Sans" w:hAnsi="Noto Sans" w:eastAsia="Arial Unicode MS" w:cs="Noto Sans"/>
          <w:b w:val="0"/>
        </w:rPr>
        <w:t>10.3 Okres rozpatrywania</w:t>
      </w:r>
    </w:p>
    <w:p>
      <w:pPr>
        <w:keepLines w:val="0"/>
      </w:pPr>
      <w:r>
        <w:rPr>
          <w:rFonts w:ascii="Noto Sans" w:hAnsi="Noto Sans" w:eastAsia="Arial Unicode MS" w:cs="Noto Sans"/>
          <w:b w:val="0"/>
        </w:rPr>
        <w:t>W normalnych okolicznościach, gdy wymagane dokumenty są w zasadniczym stopniu kompletne, dokonamy wstępnej rewizji lub poinformujemy o wszelkich dodatkowych informacjach potrzebnych w ciągu 10 dni roboczych. Sprawy obejmujące skomplikowane kradzieże kont, osoby niepełnoletnie, działania międzyplatformowe, odmowę zapłaty lub nietypowe transakcje mogą wymagać dłuższego okresu przetwarzania. Ostateczna data rozliczenia jest określana przez instytucję płatniczą, bank lub platformę.</w:t>
      </w:r>
    </w:p>
    <w:p>
      <w:pPr>
        <w:pStyle w:val="Heading1"/>
        <w:keepLines w:val="0"/>
      </w:pPr>
      <w:r>
        <w:rPr>
          <w:rFonts w:ascii="Noto Sans" w:hAnsi="Noto Sans" w:eastAsia="Arial Unicode MS" w:cs="Noto Sans"/>
          <w:b w:val="0"/>
        </w:rPr>
        <w:t>10.4 Ścieżka zwrotu</w:t>
      </w:r>
    </w:p>
    <w:p>
      <w:pPr>
        <w:keepLines w:val="0"/>
      </w:pPr>
      <w:r>
        <w:rPr>
          <w:rFonts w:ascii="Noto Sans" w:hAnsi="Noto Sans" w:eastAsia="Arial Unicode MS" w:cs="Noto Sans"/>
          <w:b w:val="0"/>
        </w:rPr>
        <w:t>Zwroty na stronie internetowej zwykle odbywają się poprzez oryginalną ścieżkę płatności w oryginalnej walucie transakcji. Jeśli prawo, zasady platformy lub technologia płatności uniemożliwiają to, weryfikujemy zamówienie i wyjaśniamy prawną alternatywę oraz ewentualną konwersję. Nie przeliczamy cicho kwoty głównej zwrotu za pomocą kursu referencyjnego strony internetowej w dniu zwrotu. Platformy stron trzecich obsługują swoje własne zamówienia zgodnie ze swoimi zasadami.</w:t>
      </w:r>
    </w:p>
    <w:p>
      <w:pPr>
        <w:pStyle w:val="Heading1"/>
        <w:keepLines w:val="0"/>
      </w:pPr>
      <w:r>
        <w:rPr>
          <w:rFonts w:ascii="Noto Sans" w:hAnsi="Noto Sans" w:eastAsia="Arial Unicode MS" w:cs="Noto Sans"/>
          <w:b w:val="0"/>
        </w:rPr>
        <w:t>11. Kwota zwrotu, rabaty i częściowe zwroty</w:t>
      </w:r>
    </w:p>
    <w:p>
      <w:pPr>
        <w:keepLines w:val="0"/>
      </w:pPr>
      <w:r>
        <w:rPr>
          <w:rFonts w:ascii="Noto Sans" w:hAnsi="Noto Sans" w:eastAsia="Arial Unicode MS" w:cs="Noto Sans"/>
          <w:b w:val="0"/>
        </w:rPr>
        <w:t>Pełny zwrot jest oparty na oryginalnej walucie transakcji i rzeczywistej zapłaconej kwocie, a nie na niezmniejszonej cenie katalogowej lub późniejszej cenie CNY. Zamówienie na stronie internetowej zapłacone za USD 50,11 jest więc zazwyczaj zwracane za USD 50,11. Częściowy zwrot jest obliczany od tej samej kwoty w oryginalnej walucie i zaokrąglany do jednostki podrzędnej tej waluty, bez konwersji round-trip CNY. Kupony, korzyści promocyjne i oddzielnie wskazane podatki podlegają warunkom zamówienia, stosownemu prawu i zasadom platformy. Późniejsze zmiany ceny bazowej lub kursu nigdy nie zmieniają cen zamówień zapłaconych.</w:t>
      </w:r>
    </w:p>
    <w:p>
      <w:pPr>
        <w:keepLines w:val="0"/>
      </w:pPr>
      <w:r>
        <w:rPr>
          <w:rFonts w:ascii="Noto Sans" w:hAnsi="Noto Sans" w:eastAsia="Arial Unicode MS" w:cs="Noto Sans"/>
          <w:b w:val="0"/>
        </w:rPr>
        <w:t>Prowizje platformowe i opłaty za przetwarzanie płatności są kosztami biznesowymi, nie automatycznym potrąceniem z legalnie zwracalnej kwoty głównej produktu. 30% prowizji platformowej nie narzuca stałego 70% zwrotu konsumenta. Niezależnie naliczane opłaty stron trzecich, które prawo pozwala, podlegają zasadom strony trzeciej i są oddzielone od zwrotu produktu.</w:t>
      </w:r>
    </w:p>
    <w:p>
      <w:pPr>
        <w:keepLines w:val="0"/>
      </w:pPr>
      <w:r>
        <w:rPr>
          <w:rFonts w:ascii="Noto Sans" w:hAnsi="Noto Sans" w:eastAsia="Arial Unicode MS" w:cs="Noto Sans"/>
          <w:b w:val="0"/>
        </w:rPr>
        <w:t>Wydawcy kart, sieci i dostawcy usług płatniczych mogą przeliczać zakup i zwrot w walucie pierwotnej na walutę rozliczeniową posiadacza karty w różnych terminach i po różnych kursach. Nawet po pełnym zwrocie w walucie pierwotnej kredyt w walucie krajowej karty może różnić się od pierwotnego debetu. Dzienny kurs referencyjny strony nie kompensuje tej różnicy ani opłaty walutowej stron trzecich, z zastrzeżeniem wszelkiej odpowiedzialności prawnej operatora.</w:t>
      </w:r>
    </w:p>
    <w:p>
      <w:pPr>
        <w:pStyle w:val="Heading1"/>
        <w:keepLines w:val="0"/>
      </w:pPr>
      <w:r>
        <w:rPr>
          <w:rFonts w:ascii="Noto Sans" w:hAnsi="Noto Sans" w:eastAsia="Arial Unicode MS" w:cs="Noto Sans"/>
          <w:b w:val="0"/>
        </w:rPr>
        <w:t>12. Wskazówki dotyczące typowych scenariuszy</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Scenariusz</w:t>
            </w:r>
          </w:p>
        </w:tc>
        <w:tc>
          <w:tcPr>
            <w:tcW w:type="dxa" w:w="3249"/>
            <w:vAlign w:val="center"/>
            <w:shd w:fill="DCE8F7"/>
          </w:tcPr>
          <w:p>
            <w:pPr>
              <w:keepNext/>
              <w:spacing w:after="40"/>
            </w:pPr>
            <w:r>
              <w:rPr>
                <w:rFonts w:ascii="Noto Sans" w:hAnsi="Noto Sans" w:eastAsia="Arial Unicode MS" w:cs="Noto Sans"/>
                <w:b/>
                <w:sz w:val="17"/>
              </w:rPr>
              <w:t>Ogólne przetwarzanie</w:t>
            </w:r>
          </w:p>
        </w:tc>
        <w:tc>
          <w:tcPr>
            <w:tcW w:type="dxa" w:w="3249"/>
            <w:vAlign w:val="center"/>
            <w:shd w:fill="DCE8F7"/>
          </w:tcPr>
          <w:p>
            <w:pPr>
              <w:keepNext/>
              <w:spacing w:after="40"/>
            </w:pPr>
            <w:r>
              <w:rPr>
                <w:rFonts w:ascii="Noto Sans" w:hAnsi="Noto Sans" w:eastAsia="Arial Unicode MS" w:cs="Noto Sans"/>
                <w:b/>
                <w:sz w:val="17"/>
              </w:rPr>
              <w:t>Uprawnienia wirtualne</w:t>
            </w:r>
          </w:p>
        </w:tc>
      </w:tr>
      <w:tr>
        <w:trPr>
          <w:cantSplit/>
        </w:trPr>
        <w:tc>
          <w:tcPr>
            <w:tcW w:type="dxa" w:w="3249"/>
            <w:vAlign w:val="center"/>
          </w:tcPr>
          <w:p>
            <w:pPr>
              <w:spacing w:after="40"/>
            </w:pPr>
            <w:r>
              <w:rPr>
                <w:rFonts w:ascii="Noto Sans" w:hAnsi="Noto Sans" w:eastAsia="Arial Unicode MS" w:cs="Noto Sans"/>
                <w:sz w:val="17"/>
              </w:rPr>
              <w:t>Podwójne obciążenie</w:t>
            </w:r>
          </w:p>
        </w:tc>
        <w:tc>
          <w:tcPr>
            <w:tcW w:type="dxa" w:w="3249"/>
            <w:vAlign w:val="center"/>
          </w:tcPr>
          <w:p>
            <w:pPr>
              <w:spacing w:after="40"/>
            </w:pPr>
            <w:r>
              <w:rPr>
                <w:rFonts w:ascii="Noto Sans" w:hAnsi="Noto Sans" w:eastAsia="Arial Unicode MS" w:cs="Noto Sans"/>
                <w:sz w:val="17"/>
              </w:rPr>
              <w:t>Zweryfikuj i zwródupodwójną płatność.</w:t>
            </w:r>
          </w:p>
        </w:tc>
        <w:tc>
          <w:tcPr>
            <w:tcW w:type="dxa" w:w="3249"/>
            <w:vAlign w:val="center"/>
          </w:tcPr>
          <w:p>
            <w:pPr>
              <w:spacing w:after="40"/>
            </w:pPr>
            <w:r>
              <w:rPr>
                <w:rFonts w:ascii="Noto Sans" w:hAnsi="Noto Sans" w:eastAsia="Arial Unicode MS" w:cs="Noto Sans"/>
                <w:sz w:val="17"/>
              </w:rPr>
              <w:t>Cofnij podwójne przyznanie; zachowaj ważny zakup.</w:t>
            </w:r>
          </w:p>
        </w:tc>
      </w:tr>
      <w:tr>
        <w:trPr>
          <w:cantSplit/>
        </w:trPr>
        <w:tc>
          <w:tcPr>
            <w:tcW w:type="dxa" w:w="3249"/>
            <w:vAlign w:val="center"/>
          </w:tcPr>
          <w:p>
            <w:pPr>
              <w:spacing w:after="40"/>
            </w:pPr>
            <w:r>
              <w:rPr>
                <w:rFonts w:ascii="Noto Sans" w:hAnsi="Noto Sans" w:eastAsia="Arial Unicode MS" w:cs="Noto Sans"/>
                <w:sz w:val="17"/>
              </w:rPr>
              <w:t>Opłacone, ale nie dostarczone</w:t>
            </w:r>
          </w:p>
        </w:tc>
        <w:tc>
          <w:tcPr>
            <w:tcW w:type="dxa" w:w="3249"/>
            <w:vAlign w:val="center"/>
          </w:tcPr>
          <w:p>
            <w:pPr>
              <w:spacing w:after="40"/>
            </w:pPr>
            <w:r>
              <w:rPr>
                <w:rFonts w:ascii="Noto Sans" w:hAnsi="Noto Sans" w:eastAsia="Arial Unicode MS" w:cs="Noto Sans"/>
                <w:sz w:val="17"/>
              </w:rPr>
              <w:t>Dostarcz przedmiot tam, gdzie to możliwe; w przeciwnym razie zwróć pieniądze zgodnie z obowiązującymi zasadami.</w:t>
            </w:r>
          </w:p>
        </w:tc>
        <w:tc>
          <w:tcPr>
            <w:tcW w:type="dxa" w:w="3249"/>
            <w:vAlign w:val="center"/>
          </w:tcPr>
          <w:p>
            <w:pPr>
              <w:spacing w:after="40"/>
            </w:pPr>
            <w:r>
              <w:rPr>
                <w:rFonts w:ascii="Noto Sans" w:hAnsi="Noto Sans" w:eastAsia="Arial Unicode MS" w:cs="Noto Sans"/>
                <w:sz w:val="17"/>
              </w:rPr>
              <w:t>Nie ma potrzeby odzyskiwania, jeśli nic nie zostało przyznane.</w:t>
            </w:r>
          </w:p>
        </w:tc>
      </w:tr>
      <w:tr>
        <w:trPr>
          <w:cantSplit/>
        </w:trPr>
        <w:tc>
          <w:tcPr>
            <w:tcW w:type="dxa" w:w="3249"/>
            <w:vAlign w:val="center"/>
          </w:tcPr>
          <w:p>
            <w:pPr>
              <w:spacing w:after="40"/>
            </w:pPr>
            <w:r>
              <w:rPr>
                <w:rFonts w:ascii="Noto Sans" w:hAnsi="Noto Sans" w:eastAsia="Arial Unicode MS" w:cs="Noto Sans"/>
                <w:sz w:val="17"/>
              </w:rPr>
              <w:t>Niezadowolenie z wyniku skrzyni</w:t>
            </w:r>
          </w:p>
        </w:tc>
        <w:tc>
          <w:tcPr>
            <w:tcW w:type="dxa" w:w="3249"/>
            <w:vAlign w:val="center"/>
          </w:tcPr>
          <w:p>
            <w:pPr>
              <w:spacing w:after="40"/>
            </w:pPr>
            <w:r>
              <w:rPr>
                <w:rFonts w:ascii="Noto Sans" w:hAnsi="Noto Sans" w:eastAsia="Arial Unicode MS" w:cs="Noto Sans"/>
                <w:sz w:val="17"/>
              </w:rPr>
              <w:t>Zazwyczaj niepodstawa do zwrotu, z zastrzeżeniem praw ustawowych lub błędu w zasadach.</w:t>
            </w:r>
          </w:p>
        </w:tc>
        <w:tc>
          <w:tcPr>
            <w:tcW w:type="dxa" w:w="3249"/>
            <w:vAlign w:val="center"/>
          </w:tcPr>
          <w:p>
            <w:pPr>
              <w:spacing w:after="40"/>
            </w:pPr>
            <w:r>
              <w:rPr>
                <w:rFonts w:ascii="Noto Sans" w:hAnsi="Noto Sans" w:eastAsia="Arial Unicode MS" w:cs="Noto Sans"/>
                <w:sz w:val="17"/>
              </w:rPr>
              <w:t>Ważny wynik zazwyczaj pozostaje.</w:t>
            </w:r>
          </w:p>
        </w:tc>
      </w:tr>
      <w:tr>
        <w:trPr>
          <w:cantSplit/>
        </w:trPr>
        <w:tc>
          <w:tcPr>
            <w:tcW w:type="dxa" w:w="3249"/>
            <w:vAlign w:val="center"/>
          </w:tcPr>
          <w:p>
            <w:pPr>
              <w:spacing w:after="40"/>
            </w:pPr>
            <w:r>
              <w:rPr>
                <w:rFonts w:ascii="Noto Sans" w:hAnsi="Noto Sans" w:eastAsia="Arial Unicode MS" w:cs="Noto Sans"/>
                <w:sz w:val="17"/>
              </w:rPr>
              <w:t>Nieprawidłowo ujawnione kursy lub zawartość</w:t>
            </w:r>
          </w:p>
        </w:tc>
        <w:tc>
          <w:tcPr>
            <w:tcW w:type="dxa" w:w="3249"/>
            <w:vAlign w:val="center"/>
          </w:tcPr>
          <w:p>
            <w:pPr>
              <w:spacing w:after="40"/>
            </w:pPr>
            <w:r>
              <w:rPr>
                <w:rFonts w:ascii="Noto Sans" w:hAnsi="Noto Sans" w:eastAsia="Arial Unicode MS" w:cs="Noto Sans"/>
                <w:sz w:val="17"/>
              </w:rPr>
              <w:t>Zbadaj, popraw, zrekompensuj lub zwróć środki zgodnie z wymaganiami.</w:t>
            </w:r>
          </w:p>
        </w:tc>
        <w:tc>
          <w:tcPr>
            <w:tcW w:type="dxa" w:w="3249"/>
            <w:vAlign w:val="center"/>
          </w:tcPr>
          <w:p>
            <w:pPr>
              <w:spacing w:after="40"/>
            </w:pPr>
            <w:r>
              <w:rPr>
                <w:rFonts w:ascii="Noto Sans" w:hAnsi="Noto Sans" w:eastAsia="Arial Unicode MS" w:cs="Noto Sans"/>
                <w:sz w:val="17"/>
              </w:rPr>
              <w:t>DostosujAffected zamówienia i uprawnienia.</w:t>
            </w:r>
          </w:p>
        </w:tc>
      </w:tr>
      <w:tr>
        <w:trPr>
          <w:cantSplit/>
        </w:trPr>
        <w:tc>
          <w:tcPr>
            <w:tcW w:type="dxa" w:w="3249"/>
            <w:vAlign w:val="center"/>
          </w:tcPr>
          <w:p>
            <w:pPr>
              <w:spacing w:after="40"/>
            </w:pPr>
            <w:r>
              <w:rPr>
                <w:rFonts w:ascii="Noto Sans" w:hAnsi="Noto Sans" w:eastAsia="Arial Unicode MS" w:cs="Noto Sans"/>
                <w:sz w:val="17"/>
              </w:rPr>
              <w:t>Niewykorzystany element cyfrowy</w:t>
            </w:r>
          </w:p>
        </w:tc>
        <w:tc>
          <w:tcPr>
            <w:tcW w:type="dxa" w:w="3249"/>
            <w:vAlign w:val="center"/>
          </w:tcPr>
          <w:p>
            <w:pPr>
              <w:spacing w:after="40"/>
            </w:pPr>
            <w:r>
              <w:rPr>
                <w:rFonts w:ascii="Noto Sans" w:hAnsi="Noto Sans" w:eastAsia="Arial Unicode MS" w:cs="Noto Sans"/>
                <w:sz w:val="17"/>
              </w:rPr>
              <w:t>Żądanie może zostać przeanalizowane zgodnie z prawem a techniczną możliwością odzyskania.</w:t>
            </w:r>
          </w:p>
        </w:tc>
        <w:tc>
          <w:tcPr>
            <w:tcW w:type="dxa" w:w="3249"/>
            <w:vAlign w:val="center"/>
          </w:tcPr>
          <w:p>
            <w:pPr>
              <w:spacing w:after="40"/>
            </w:pPr>
            <w:r>
              <w:rPr>
                <w:rFonts w:ascii="Noto Sans" w:hAnsi="Noto Sans" w:eastAsia="Arial Unicode MS" w:cs="Noto Sans"/>
                <w:sz w:val="17"/>
              </w:rPr>
              <w:t>Odwróć uprawnienia objęte zwrotem środków.</w:t>
            </w:r>
          </w:p>
        </w:tc>
      </w:tr>
      <w:tr>
        <w:trPr>
          <w:cantSplit/>
        </w:trPr>
        <w:tc>
          <w:tcPr>
            <w:tcW w:type="dxa" w:w="3249"/>
            <w:vAlign w:val="center"/>
          </w:tcPr>
          <w:p>
            <w:pPr>
              <w:spacing w:after="40"/>
            </w:pPr>
            <w:r>
              <w:rPr>
                <w:rFonts w:ascii="Noto Sans" w:hAnsi="Noto Sans" w:eastAsia="Arial Unicode MS" w:cs="Noto Sans"/>
                <w:sz w:val="17"/>
              </w:rPr>
              <w:t>Kurs waluty obcej zmienił się przed zwrotem środków w walucie zagranicznej</w:t>
            </w:r>
          </w:p>
        </w:tc>
        <w:tc>
          <w:tcPr>
            <w:tcW w:type="dxa" w:w="3249"/>
            <w:vAlign w:val="center"/>
          </w:tcPr>
          <w:p>
            <w:pPr>
              <w:spacing w:after="40"/>
            </w:pPr>
            <w:r>
              <w:rPr>
                <w:rFonts w:ascii="Noto Sans" w:hAnsi="Noto Sans" w:eastAsia="Arial Unicode MS" w:cs="Noto Sans"/>
                <w:sz w:val="17"/>
              </w:rPr>
              <w:t>Użyj oryginalnej waluty transakcji i faktycznie zapłaconej kwoty; nie przeliczaj na kurs z dnia zwrotu.</w:t>
            </w:r>
          </w:p>
        </w:tc>
        <w:tc>
          <w:tcPr>
            <w:tcW w:type="dxa" w:w="3249"/>
            <w:vAlign w:val="center"/>
          </w:tcPr>
          <w:p>
            <w:pPr>
              <w:spacing w:after="40"/>
            </w:pPr>
            <w:r>
              <w:rPr>
                <w:rFonts w:ascii="Noto Sans" w:hAnsi="Noto Sans" w:eastAsia="Arial Unicode MS" w:cs="Noto Sans"/>
                <w:sz w:val="17"/>
              </w:rPr>
              <w:t>Dostosuj uprawnienia do wysokości zwróconych środków.</w:t>
            </w:r>
          </w:p>
        </w:tc>
      </w:tr>
      <w:tr>
        <w:trPr>
          <w:cantSplit/>
        </w:trPr>
        <w:tc>
          <w:tcPr>
            <w:tcW w:type="dxa" w:w="3249"/>
            <w:vAlign w:val="center"/>
          </w:tcPr>
          <w:p>
            <w:pPr>
              <w:spacing w:after="40"/>
            </w:pPr>
            <w:r>
              <w:rPr>
                <w:rFonts w:ascii="Noto Sans" w:hAnsi="Noto Sans" w:eastAsia="Arial Unicode MS" w:cs="Noto Sans"/>
                <w:sz w:val="17"/>
              </w:rPr>
              <w:t>Zakup dokonywany przez małoletniego</w:t>
            </w:r>
          </w:p>
        </w:tc>
        <w:tc>
          <w:tcPr>
            <w:tcW w:type="dxa" w:w="3249"/>
            <w:vAlign w:val="center"/>
          </w:tcPr>
          <w:p>
            <w:pPr>
              <w:spacing w:after="40"/>
            </w:pPr>
            <w:r>
              <w:rPr>
                <w:rFonts w:ascii="Noto Sans" w:hAnsi="Noto Sans" w:eastAsia="Arial Unicode MS" w:cs="Noto Sans"/>
                <w:sz w:val="17"/>
              </w:rPr>
              <w:t>Przejrzyj zgodnie z prawem. Po zatwierdzonym i ukończonym pełnym lub zasadniczo pełnym zwrocie środków, trwale zablokuj powiązane konto gry.</w:t>
            </w:r>
          </w:p>
        </w:tc>
        <w:tc>
          <w:tcPr>
            <w:tcW w:type="dxa" w:w="3249"/>
            <w:vAlign w:val="center"/>
          </w:tcPr>
          <w:p>
            <w:pPr>
              <w:spacing w:after="40"/>
            </w:pPr>
            <w:r>
              <w:rPr>
                <w:rFonts w:ascii="Noto Sans" w:hAnsi="Noto Sans" w:eastAsia="Arial Unicode MS" w:cs="Noto Sans"/>
                <w:sz w:val="17"/>
              </w:rPr>
              <w:t>Odzyskaj powiązane uprawnienia bez zmniejszania zwrotu; ręczna korekta pozostaje dostępna w przypadku błędów.</w:t>
            </w:r>
          </w:p>
        </w:tc>
      </w:tr>
      <w:tr>
        <w:trPr>
          <w:cantSplit/>
        </w:trPr>
        <w:tc>
          <w:tcPr>
            <w:tcW w:type="dxa" w:w="3249"/>
            <w:vAlign w:val="center"/>
          </w:tcPr>
          <w:p>
            <w:pPr>
              <w:spacing w:after="40"/>
            </w:pPr>
            <w:r>
              <w:rPr>
                <w:rFonts w:ascii="Noto Sans" w:hAnsi="Noto Sans" w:eastAsia="Arial Unicode MS" w:cs="Noto Sans"/>
                <w:sz w:val="17"/>
              </w:rPr>
              <w:t>Zamówienie Apple, Google Play lub Steam</w:t>
            </w:r>
          </w:p>
        </w:tc>
        <w:tc>
          <w:tcPr>
            <w:tcW w:type="dxa" w:w="3249"/>
            <w:vAlign w:val="center"/>
          </w:tcPr>
          <w:p>
            <w:pPr>
              <w:spacing w:after="40"/>
            </w:pPr>
            <w:r>
              <w:rPr>
                <w:rFonts w:ascii="Noto Sans" w:hAnsi="Noto Sans" w:eastAsia="Arial Unicode MS" w:cs="Noto Sans"/>
                <w:sz w:val="17"/>
              </w:rPr>
              <w:t>Regulamin platformy i obowiązujące prawo regulują kwalifikowalność, walutę, kwotę i kanał.</w:t>
            </w:r>
          </w:p>
        </w:tc>
        <w:tc>
          <w:tcPr>
            <w:tcW w:type="dxa" w:w="3249"/>
            <w:vAlign w:val="center"/>
          </w:tcPr>
          <w:p>
            <w:pPr>
              <w:spacing w:after="40"/>
            </w:pPr>
            <w:r>
              <w:rPr>
                <w:rFonts w:ascii="Noto Sans" w:hAnsi="Noto Sans" w:eastAsia="Arial Unicode MS" w:cs="Noto Sans"/>
                <w:sz w:val="17"/>
              </w:rPr>
              <w:t>Dostosuj uprawnienia na podstawie zweryfikowanego wyniku zwrotu.</w:t>
            </w:r>
          </w:p>
        </w:tc>
      </w:tr>
      <w:tr>
        <w:trPr>
          <w:cantSplit/>
        </w:trPr>
        <w:tc>
          <w:tcPr>
            <w:tcW w:type="dxa" w:w="3249"/>
            <w:vAlign w:val="center"/>
          </w:tcPr>
          <w:p>
            <w:pPr>
              <w:spacing w:after="40"/>
            </w:pPr>
            <w:r>
              <w:rPr>
                <w:rFonts w:ascii="Noto Sans" w:hAnsi="Noto Sans" w:eastAsia="Arial Unicode MS" w:cs="Noto Sans"/>
                <w:sz w:val="17"/>
              </w:rPr>
              <w:t>Kradzież lub nieautoryzowana płatność</w:t>
            </w:r>
          </w:p>
        </w:tc>
        <w:tc>
          <w:tcPr>
            <w:tcW w:type="dxa" w:w="3249"/>
            <w:vAlign w:val="center"/>
          </w:tcPr>
          <w:p>
            <w:pPr>
              <w:spacing w:after="40"/>
            </w:pPr>
            <w:r>
              <w:rPr>
                <w:rFonts w:ascii="Noto Sans" w:hAnsi="Noto Sans" w:eastAsia="Arial Unicode MS" w:cs="Noto Sans"/>
                <w:sz w:val="17"/>
              </w:rPr>
              <w:t>Współpracuj z dostawcą płatności; nie klasyfikuj automatycznie jako zwrotu dla małoletniego.</w:t>
            </w:r>
          </w:p>
        </w:tc>
        <w:tc>
          <w:tcPr>
            <w:tcW w:type="dxa" w:w="3249"/>
            <w:vAlign w:val="center"/>
          </w:tcPr>
          <w:p>
            <w:pPr>
              <w:spacing w:after="40"/>
            </w:pPr>
            <w:r>
              <w:rPr>
                <w:rFonts w:ascii="Noto Sans" w:hAnsi="Noto Sans" w:eastAsia="Arial Unicode MS" w:cs="Noto Sans"/>
                <w:sz w:val="17"/>
              </w:rPr>
              <w:t>Chroń sporne korzyści oczekujące na weryfikację.</w:t>
            </w:r>
          </w:p>
        </w:tc>
      </w:tr>
      <w:tr>
        <w:trPr>
          <w:cantSplit/>
        </w:trPr>
        <w:tc>
          <w:tcPr>
            <w:tcW w:type="dxa" w:w="3249"/>
            <w:vAlign w:val="center"/>
          </w:tcPr>
          <w:p>
            <w:pPr>
              <w:spacing w:after="40"/>
            </w:pPr>
            <w:r>
              <w:rPr>
                <w:rFonts w:ascii="Noto Sans" w:hAnsi="Noto Sans" w:eastAsia="Arial Unicode MS" w:cs="Noto Sans"/>
                <w:sz w:val="17"/>
              </w:rPr>
              <w:t>Nadużyciowy chargeback lub roszczenie o zwrot</w:t>
            </w:r>
          </w:p>
        </w:tc>
        <w:tc>
          <w:tcPr>
            <w:tcW w:type="dxa" w:w="3249"/>
            <w:vAlign w:val="center"/>
          </w:tcPr>
          <w:p>
            <w:pPr>
              <w:spacing w:after="40"/>
            </w:pPr>
            <w:r>
              <w:rPr>
                <w:rFonts w:ascii="Noto Sans" w:hAnsi="Noto Sans" w:eastAsia="Arial Unicode MS" w:cs="Noto Sans"/>
                <w:sz w:val="17"/>
              </w:rPr>
              <w:t>Oceń dowody zgodnie z obowiązującym prawem i Regulaminem Gracza.</w:t>
            </w:r>
          </w:p>
        </w:tc>
        <w:tc>
          <w:tcPr>
            <w:tcW w:type="dxa" w:w="3249"/>
            <w:vAlign w:val="center"/>
          </w:tcPr>
          <w:p>
            <w:pPr>
              <w:spacing w:after="40"/>
            </w:pPr>
            <w:r>
              <w:rPr>
                <w:rFonts w:ascii="Noto Sans" w:hAnsi="Noto Sans" w:eastAsia="Arial Unicode MS" w:cs="Noto Sans"/>
                <w:sz w:val="17"/>
              </w:rPr>
              <w:t>Nienaturalne dochody mogą zostać zamrożone lub odzyskane.</w:t>
            </w:r>
          </w:p>
        </w:tc>
      </w:tr>
    </w:tbl>
    <w:p>
      <w:pPr>
        <w:spacing w:after="40"/>
      </w:pPr>
    </w:p>
    <w:p>
      <w:pPr>
        <w:pStyle w:val="Heading1"/>
        <w:keepLines w:val="0"/>
      </w:pPr>
      <w:r>
        <w:rPr>
          <w:rFonts w:ascii="Noto Sans" w:hAnsi="Noto Sans" w:eastAsia="Arial Unicode MS" w:cs="Noto Sans"/>
          <w:b w:val="0"/>
        </w:rPr>
        <w:t>13. Dodatki regionalne</w:t>
      </w:r>
    </w:p>
    <w:p>
      <w:pPr>
        <w:pStyle w:val="Heading1"/>
        <w:keepLines w:val="0"/>
      </w:pPr>
      <w:r>
        <w:rPr>
          <w:rFonts w:ascii="Noto Sans" w:hAnsi="Noto Sans" w:eastAsia="Arial Unicode MS" w:cs="Noto Sans"/>
          <w:b w:val="0"/>
        </w:rPr>
        <w:t>13.1 Chiny kontynentalne</w:t>
      </w:r>
    </w:p>
    <w:p>
      <w:pPr>
        <w:keepLines w:val="0"/>
      </w:pPr>
      <w:r>
        <w:rPr>
          <w:rFonts w:ascii="Noto Sans" w:hAnsi="Noto Sans" w:eastAsia="Arial Unicode MS" w:cs="Noto Sans"/>
          <w:b w:val="0"/>
        </w:rPr>
        <w:t>Stosowanie siedmiodniowej polityki zwrotu bez pytań do towarów cyfrowych na oficjalnej stronie internetowej zostanie określone zgodnie z Ustawą o Ochronie Praw Konsumenta, biorąc pod uwagę charakter towarów, sposób dostawy oraz to, czy przed zakupem udzielono jasnych komunikatów lub potwierdzeń. Niniejszy zapis nie będzie korzystać z klauzuli standardowej w celu wykluczenia jakichkolwiek praw do zwrotu, rozwiązania umowy lub odszkodowania, których nie można prawnie wyłączyć.</w:t>
      </w:r>
    </w:p>
    <w:p>
      <w:pPr>
        <w:keepLines w:val="0"/>
      </w:pPr>
      <w:r>
        <w:rPr>
          <w:rFonts w:ascii="Noto Sans" w:hAnsi="Noto Sans" w:eastAsia="Arial Unicode MS" w:cs="Noto Sans"/>
          <w:b w:val="0"/>
        </w:rPr>
        <w:t>W przypadku towarów cyfrowych, postanowienia dotyczące prawa do odstąpienia od umowy bez podania przyczyny, ryzyka zakupu losowych przedmiotów, istotnych ograniczeń, warunków dostawy i zwrotu oraz innych warunków mających istotne znaczenie dla konsumentów powinny być wyraźnie wyświetlane przed zakupem, a w razie potrzeby należy uzyskać potwierdzenie użytkownika.</w:t>
      </w:r>
    </w:p>
    <w:p>
      <w:pPr>
        <w:keepLines w:val="0"/>
      </w:pPr>
      <w:r>
        <w:rPr>
          <w:rFonts w:ascii="Noto Sans" w:hAnsi="Noto Sans" w:eastAsia="Arial Unicode MS" w:cs="Noto Sans"/>
          <w:b w:val="0"/>
        </w:rPr>
        <w:t>Towary losowe muszą przejść specjalną kontrolę zgodności przed oficjalnym uruchomieniem na terenie Chińskiej Republiki Ludowej; jeśli obowiązujące zasady w tym czasie zabraniają bezpośredniego udziału w losowaniach za pomocą legalnego środka płatniczego lub waluty wirtualnej, model sprzedaży zostanie dostosowany lub funkcja zostanie zawieszona.</w:t>
      </w:r>
    </w:p>
    <w:p>
      <w:pPr>
        <w:pStyle w:val="Heading1"/>
        <w:keepLines w:val="0"/>
      </w:pPr>
      <w:r>
        <w:rPr>
          <w:rFonts w:ascii="Noto Sans" w:hAnsi="Noto Sans" w:eastAsia="Arial Unicode MS" w:cs="Noto Sans"/>
          <w:b w:val="0"/>
        </w:rPr>
        <w:t>13.2 Stany Zjednoczone</w:t>
      </w:r>
    </w:p>
    <w:p>
      <w:pPr>
        <w:keepLines w:val="0"/>
      </w:pPr>
      <w:r>
        <w:rPr>
          <w:rFonts w:ascii="Noto Sans" w:hAnsi="Noto Sans" w:eastAsia="Arial Unicode MS" w:cs="Noto Sans"/>
          <w:b w:val="0"/>
        </w:rPr>
        <w:t>Warunki użytkowania nie wykluczają żadnych praw ochrony konsumenta przyznanych na mocy federalnych lub stanowych ustaw o ochronie konsumentów, których nie można zrzec się. Proces zakupu musi uzyskać wyraźną i potwierdzoną zgodę, unikając mylących przycisków, ukrytych opłat lub niejasnych potwierdzeń zakupu. Spory dotyczące nieautoryzowanych zakupów i rzeczywistych sporów płatniczych będą rozstrzygane zgodnie z obowiązującymi przepisami prawa, sieciami płatniczymi i regulaminem platformy.</w:t>
      </w:r>
    </w:p>
    <w:p>
      <w:pPr>
        <w:pStyle w:val="Heading1"/>
        <w:keepLines w:val="0"/>
      </w:pPr>
      <w:r>
        <w:rPr>
          <w:rFonts w:ascii="Noto Sans" w:hAnsi="Noto Sans" w:eastAsia="Arial Unicode MS" w:cs="Noto Sans"/>
          <w:b w:val="0"/>
        </w:rPr>
        <w:t>13.3 Japonia</w:t>
      </w:r>
    </w:p>
    <w:p>
      <w:pPr>
        <w:keepLines w:val="0"/>
      </w:pPr>
      <w:r>
        <w:rPr>
          <w:rFonts w:ascii="Noto Sans" w:hAnsi="Noto Sans" w:eastAsia="Arial Unicode MS" w:cs="Noto Sans"/>
          <w:b w:val="0"/>
        </w:rPr>
        <w:t>Podczas prowadzenia oficjalnej sprzedaży internetowej skierowanej do użytkowników japońskich, operatorzy powinni dostarczyć na stronie produktu lub dedykowanej stronie prawnie wymagane ujawnienia zgodnie z "Ustawą o Specyficznych Transakcjach Handlowych", w tym prawdziwe informacje sprzedawcy, cenę, metodę płatności, harmonogram dostawy, warunki anulowania/zakończenia oraz politykę zwrotów. Niniejsze warunki nie zastępują "obowiązkowych ujawnień zgodnie z Ustawą o Specyficznych Transakcjach Handlowych."</w:t>
      </w:r>
    </w:p>
    <w:p>
      <w:pPr>
        <w:keepLines w:val="0"/>
      </w:pPr>
      <w:r>
        <w:rPr>
          <w:rFonts w:ascii="Noto Sans" w:hAnsi="Noto Sans" w:eastAsia="Arial Unicode MS" w:cs="Noto Sans"/>
          <w:b w:val="0"/>
        </w:rPr>
        <w:t>Okres karencji stosowany do sprzedaży internetowej w Japonii nie automatycznie stosuje ten sam mechanizm co w sklepach fizycznych, a konkretne warunki zwrotu lub anulowania muszą być wyraźnie wyświetlone na stronie reklamowej i stronie końcowego potwierdzenia. Użytkownicy zachowują jednak swoje odpowiednie ustawowe prawa do środków zaradczych, jeśli produkt ma wady, jest przedstawiony w sposób wprowadzający w błąd, lub w inny sposób przewidziane przez prawo.</w:t>
      </w:r>
    </w:p>
    <w:p>
      <w:pPr>
        <w:pStyle w:val="Heading1"/>
        <w:keepLines w:val="0"/>
      </w:pPr>
      <w:r>
        <w:rPr>
          <w:rFonts w:ascii="Noto Sans" w:hAnsi="Noto Sans" w:eastAsia="Arial Unicode MS" w:cs="Noto Sans"/>
          <w:b w:val="0"/>
        </w:rPr>
        <w:t>14. Granica między politykami zwrotów a karami za naruszenia przez graczy</w:t>
      </w:r>
    </w:p>
    <w:p>
      <w:pPr>
        <w:keepLines w:val="0"/>
      </w:pPr>
      <w:r>
        <w:rPr>
          <w:rFonts w:ascii="Noto Sans" w:hAnsi="Noto Sans" w:eastAsia="Arial Unicode MS" w:cs="Noto Sans"/>
          <w:b w:val="0"/>
        </w:rPr>
        <w:t>Zwroty rozwiązują prawdziwe spory zakupowe. Zwykłe zwroty, skargi w dobrej wierze i genuine chargebacki nie prowadzą automatycznie do trwałej izolacji. Gdy tylko drobny zakup zostanie zweryfikowany, a jego zatwierdzone pełne lub zasadniczo pełne zwroty faktycznie zostaną ukończone zgodnie z Sekcją 7, powiązane konto gry traci na stałe normalny dostęp do gry. Może zalogować się do dedykowanego obszaru ograniczonego, ale nie może uzyskać dostępu do zwykłego świata, sklepu, handlu, wydarzeń ani normalnej rozgrywki społecznej i ekonomicznej, ani wyjść poprzez zwykłe zadania, przedmioty, podróże czy nowe logowanie. Gra przedstawia to jako mapę więzienia i dożywocie; jest to stan usługi gry, nie wyrok karny, i nie zmniejsza żadnego prawnie należnego zwrotu.</w:t>
      </w:r>
    </w:p>
    <w:p>
      <w:pPr>
        <w:keepLines w:val="0"/>
      </w:pPr>
      <w:r>
        <w:rPr>
          <w:rFonts w:ascii="Noto Sans" w:hAnsi="Noto Sans" w:eastAsia="Arial Unicode MS" w:cs="Noto Sans"/>
          <w:b w:val="0"/>
        </w:rPr>
        <w:t>Ograniczenie dotyczy wyłącznie powiązanego konta gry, a nie automatycznie całego konta DAWNBLOOM ani innych aplikacji. Błędny wiek, opieka, przypisanie zamówienia, status zwrotu lub powiązanie konta można zakwestionować poprzez wsparcie. Tylko autoryzowana, udokumentowana korekta przez człowieka może cofnąć błędne ograniczenie. Niezależnie udowodnione oszustwo lub inne nadużycia są rozpatrywane zgodnie z Regulaminem Gracza i Polityką Egzekucji.</w:t>
      </w:r>
    </w:p>
    <w:p>
      <w:pPr>
        <w:pStyle w:val="Heading1"/>
        <w:keepLines w:val="0"/>
      </w:pPr>
      <w:r>
        <w:rPr>
          <w:rFonts w:ascii="Noto Sans" w:hAnsi="Noto Sans" w:eastAsia="Arial Unicode MS" w:cs="Noto Sans"/>
          <w:b w:val="0"/>
        </w:rPr>
        <w:t>15. Zakłócenia usług, istotne zmiany i zakończenie świadczenia usług</w:t>
      </w:r>
    </w:p>
    <w:p>
      <w:pPr>
        <w:keepLines w:val="0"/>
      </w:pPr>
      <w:r>
        <w:rPr>
          <w:rFonts w:ascii="Noto Sans" w:hAnsi="Noto Sans" w:eastAsia="Arial Unicode MS" w:cs="Noto Sans"/>
          <w:b w:val="0"/>
        </w:rPr>
        <w:t>Jeśli z przyczyn operatora zakupiony i nadal ważny towar cyfrowy nie może być dostarczony lub używany przez dłuższy czas, zapewnimy środki naprawcze, alternatywne prawa, zwrot pieniędzy lub inne rozsądne rozwiązania na podstawie obowiązujących praw, zasad platformy, charakteru towarów oraz technicznej odzyskiwalności.</w:t>
      </w:r>
    </w:p>
    <w:p>
      <w:pPr>
        <w:keepLines w:val="0"/>
      </w:pPr>
      <w:r>
        <w:rPr>
          <w:rFonts w:ascii="Noto Sans" w:hAnsi="Noto Sans" w:eastAsia="Arial Unicode MS" w:cs="Noto Sans"/>
          <w:b w:val="0"/>
        </w:rPr>
        <w:t>W przypadku gdy wymogi prawne wymagają zakończenia związanych usług gier online, wszelkie niewykorzystane uprawnienia cyfrowe, waluta wirtualna lub niespełnione usługi płatne będą obsługiwane zgodnie z obowiązującym prawem, wymaganiami regulacyjnymi, zasadami platformy oraz publicznie ogłoszonym planem zakończenia usługi w tym czasie.</w:t>
      </w:r>
    </w:p>
    <w:p>
      <w:pPr>
        <w:pStyle w:val="Heading1"/>
        <w:keepLines w:val="0"/>
      </w:pPr>
      <w:r>
        <w:rPr>
          <w:rFonts w:ascii="Noto Sans" w:hAnsi="Noto Sans" w:eastAsia="Arial Unicode MS" w:cs="Noto Sans"/>
          <w:b w:val="0"/>
        </w:rPr>
        <w:t>16. Aktualizacje klauzul i wersje historyczne</w:t>
      </w:r>
    </w:p>
    <w:p>
      <w:pPr>
        <w:keepLines w:val="0"/>
      </w:pPr>
      <w:r>
        <w:rPr>
          <w:rFonts w:ascii="Noto Sans" w:hAnsi="Noto Sans" w:eastAsia="Arial Unicode MS" w:cs="Noto Sans"/>
          <w:b w:val="0"/>
        </w:rPr>
        <w:t>Istotne zmiany zostaną ogłoszone w widoczny sposób, ze wskazaniem wersji i daty wejścia w życie. Niniejsza V8 stosuje się dopiero po formalnym wejściu w życie do nowych zamówień składanych od tego momentu i powiązanych procedur; istniejące zamówienia nadal opierają się na warunkach transakcji wyraźnie przedstawionych w chwili zakupu i zasadach właściwych zgodnie z prawem. Nowe warunki nie powodują zmiany cen z mocą wsteczną ani pozbawienia praw ustawowych.</w:t>
      </w:r>
    </w:p>
    <w:p>
      <w:pPr>
        <w:keepLines w:val="0"/>
      </w:pPr>
      <w:r>
        <w:rPr>
          <w:rFonts w:ascii="Noto Sans" w:hAnsi="Noto Sans" w:eastAsia="Arial Unicode MS" w:cs="Noto Sans"/>
          <w:b w:val="0"/>
        </w:rPr>
        <w:t>Zamówienia, które zostały już ukończone, będą generalnie governed przez stronę transakcji, opis produktu i zasady obowiązujące w momencie zakupu; nowa wersja tych warunków nie pozbawi automatycznie użytkowników żadnych praw ustawowych, które już powstały.</w:t>
      </w:r>
    </w:p>
    <w:p>
      <w:pPr>
        <w:pStyle w:val="Heading1"/>
        <w:keepLines w:val="0"/>
      </w:pPr>
      <w:r>
        <w:rPr>
          <w:rFonts w:ascii="Noto Sans" w:hAnsi="Noto Sans" w:eastAsia="Arial Unicode MS" w:cs="Noto Sans"/>
          <w:b w:val="0"/>
        </w:rPr>
        <w:t>17. Kontakt z nami i rozwiązywanie sporów</w:t>
      </w:r>
    </w:p>
    <w:p>
      <w:pPr>
        <w:keepLines w:val="0"/>
      </w:pPr>
      <w:r>
        <w:rPr>
          <w:rFonts w:ascii="Noto Sans" w:hAnsi="Noto Sans" w:eastAsia="Arial Unicode MS" w:cs="Noto Sans"/>
          <w:b w:val="0"/>
        </w:rPr>
        <w:t xml:space="preserve">Fakturacja, płatności i zwroty: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Ogólna obsługa klienta graczy: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Zapytania prawne, dotyczące praw autorskich i prywatności: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Adres operacyjny / oficjalny adres kontaktowy: Pokój 218, Budynek 3, Nr 336 Tianjiao Road, Specjalna Strefa Wolnego Handlu Lin-gang, Chińska Republika Ludowa (Chiny) (Pilot Free Trade Zone of the China (Shanghai))</w:t>
      </w:r>
    </w:p>
    <w:p>
      <w:pPr>
        <w:keepLines w:val="0"/>
      </w:pPr>
      <w:r>
        <w:rPr>
          <w:rFonts w:ascii="Noto Sans" w:hAnsi="Noto Sans" w:eastAsia="Arial Unicode MS" w:cs="Noto Sans"/>
          <w:b w:val="0"/>
        </w:rPr>
        <w:t>Użytkownicy mogą najpierw zgłaszać spory dotyczące zamówień i wnioski o zwrot poprzez obsługę klienta. Jeśli negocjacje nie rozwiążą problemu, użytkownicy mogą nadal szukać odszkodowania na podstawie obowiązującego prawa od agencji ochrony konsumentów, instytucji płatniczych, platformy, organów arbitrażowych lub mediacyjnych lub właściwych sądów.</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sprzedaży i zwrotów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