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Polityka Prywatności DAWNBLOOM</w:t>
      </w:r>
    </w:p>
    <w:p>
      <w:pPr>
        <w:keepLines w:val="0"/>
      </w:pPr>
      <w:r>
        <w:rPr>
          <w:rFonts w:ascii="Noto Sans" w:hAnsi="Noto Sans" w:eastAsia="Noto Sans TC" w:cs="Noto Sans"/>
          <w:b w:val="0"/>
        </w:rPr>
        <w:t>Polski · V7</w:t>
      </w:r>
    </w:p>
    <w:p>
      <w:pPr>
        <w:keepLines w:val="0"/>
      </w:pPr>
      <w:r>
        <w:rPr>
          <w:rFonts w:ascii="Noto Sans" w:hAnsi="Noto Sans" w:eastAsia="Noto Sans TC" w:cs="Noto Sans"/>
          <w:b w:val="0"/>
        </w:rPr>
        <w:t>Wersja: V7</w:t>
      </w:r>
    </w:p>
    <w:p>
      <w:pPr>
        <w:keepLines w:val="0"/>
      </w:pPr>
      <w:r>
        <w:rPr>
          <w:rFonts w:ascii="Noto Sans" w:hAnsi="Noto Sans" w:eastAsia="Noto Sans TC" w:cs="Noto Sans"/>
          <w:b w:val="0"/>
        </w:rPr>
        <w:t>Zaktualizowano: 9 października 2026 r.</w:t>
      </w:r>
    </w:p>
    <w:p>
      <w:pPr>
        <w:keepLines w:val="0"/>
      </w:pPr>
      <w:r>
        <w:rPr>
          <w:rFonts w:ascii="Noto Sans" w:hAnsi="Noto Sans" w:eastAsia="Noto Sans TC" w:cs="Noto Sans"/>
          <w:b w:val="0"/>
        </w:rPr>
        <w:t>Data wejścia w życie: 9 października 2026 r.</w:t>
      </w:r>
    </w:p>
    <w:p>
      <w:pPr>
        <w:keepLines w:val="0"/>
      </w:pPr>
      <w:r>
        <w:rPr>
          <w:rFonts w:ascii="Noto Sans" w:hAnsi="Noto Sans" w:eastAsia="Noto Sans TC" w:cs="Noto Sans"/>
          <w:b w:val="0"/>
        </w:rPr>
        <w:t>Zakres: strona internetowa, konto, gra, sześć aplikacji, społeczność, centrum gracza i wsparcie.</w:t>
      </w:r>
    </w:p>
    <w:p>
      <w:pPr>
        <w:pStyle w:val="Heading1"/>
        <w:keepLines w:val="0"/>
      </w:pPr>
      <w:r>
        <w:rPr>
          <w:rFonts w:ascii="Noto Sans" w:hAnsi="Noto Sans" w:eastAsia="Noto Sans TC" w:cs="Noto Sans"/>
          <w:b w:val="0"/>
        </w:rPr>
        <w:t>Informacje o publikacji i podsumowanie prywatności</w:t>
      </w:r>
    </w:p>
    <w:p>
      <w:pPr>
        <w:keepLines w:val="0"/>
      </w:pPr>
      <w:r>
        <w:rPr>
          <w:rFonts w:ascii="Noto Sans" w:hAnsi="Noto Sans" w:eastAsia="Noto Sans TC" w:cs="Noto Sans"/>
          <w:b w:val="0"/>
        </w:rPr>
        <w:t xml:space="preserve">Operator i administrator danych osobowych: Shanghai Zhui Guang Zhi Chuang Culture Media Co., Ltd. (publiczna nazwa angielska: SHANGHAI LUMIREALM CREATIVE MEDIA CO., LTD.) Oficjalna strona internetowa: </w:t>
      </w:r>
      <w:hyperlink r:id="rId11">
        <w:r>
          <w:rPr>
            <w:rFonts w:ascii="Noto Sans" w:hAnsi="Noto Sans" w:eastAsia="Noto Sans TC"/>
            <w:b w:val="0"/>
          </w:rPr>
          <w:t xml:space="preserve">https://dawnbloom.net.</w:t>
        </w:r>
      </w:hyperlink>
      <w:r>
        <w:rPr>
          <w:rFonts w:ascii="Noto Sans" w:hAnsi="Noto Sans" w:eastAsia="Noto Sans TC" w:cs="Noto Sans"/>
          <w:b w:val="0"/>
        </w:rPr>
        <w:t xml:space="preserve"> Adres kontaktowy prawny: Pokój 218, Budynek 3, Nr 336 Tianjiao Road, Specjalna Strefa Lin-gang Chińskiej (Szanghaj) Pilotowej Strefy Wolnego Handlu, Chiny (中国（上海）自由贸易试验区临港新片区天骄路336号3幢218室). Prywatność i prawo: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ogólne wsparcie: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incydenty bezpieczeństwa: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w:t>
      </w:r>
    </w:p>
    <w:p>
      <w:pPr>
        <w:pStyle w:val="ListBullet"/>
        <w:keepLines w:val="0"/>
      </w:pPr>
      <w:r>
        <w:rPr>
          <w:rFonts w:ascii="Noto Sans" w:hAnsi="Noto Sans" w:eastAsia="Noto Sans TC" w:cs="Noto Sans"/>
          <w:b w:val="0"/>
        </w:rPr>
        <w:t>Gra online wymaga przetwarzania na serwerze danych konta, postaci, społeczności, aktywów oraz niezbędnego danych operacyjnych.</w:t>
      </w:r>
    </w:p>
    <w:p>
      <w:pPr>
        <w:pStyle w:val="ListBullet"/>
        <w:keepLines w:val="0"/>
      </w:pPr>
      <w:r>
        <w:rPr>
          <w:rFonts w:ascii="Noto Sans" w:hAnsi="Noto Sans" w:eastAsia="Noto Sans TC" w:cs="Noto Sans"/>
          <w:b w:val="0"/>
        </w:rPr>
        <w:t>Kluczowa zawartość prywatna w przeglądarce, poczcie, pobieraniu i archiwum jest początkowo przetwarzana lokalnie; dostawcy poczty i adresaci niezależnie obsługują komunikację, której żądasz.</w:t>
      </w:r>
    </w:p>
    <w:p>
      <w:pPr>
        <w:pStyle w:val="ListBullet"/>
        <w:keepLines w:val="0"/>
      </w:pPr>
      <w:r>
        <w:rPr>
          <w:rFonts w:ascii="Noto Sans" w:hAnsi="Noto Sans" w:eastAsia="Noto Sans TC" w:cs="Noto Sans"/>
          <w:b w:val="0"/>
        </w:rPr>
        <w:t>Light Sync jest opcjonalny i obejmuje wyłącznie ustawienia i metadane obsługiwane przez ten produkt. News obecnie nie oferuje Light Sync.</w:t>
      </w:r>
    </w:p>
    <w:p>
      <w:pPr>
        <w:pStyle w:val="ListBullet"/>
        <w:keepLines w:val="0"/>
      </w:pPr>
      <w:r>
        <w:rPr>
          <w:rFonts w:ascii="Noto Sans" w:hAnsi="Noto Sans" w:eastAsia="Noto Sans TC" w:cs="Noto Sans"/>
          <w:b w:val="0"/>
        </w:rPr>
        <w:t>Wspólne konto nie powoduje automatycznego przepływu treści prywatnych między produktami.</w:t>
      </w:r>
    </w:p>
    <w:p>
      <w:pPr>
        <w:pStyle w:val="ListBullet"/>
        <w:keepLines w:val="0"/>
      </w:pPr>
      <w:r>
        <w:rPr>
          <w:rFonts w:ascii="Noto Sans" w:hAnsi="Noto Sans" w:eastAsia="Noto Sans TC" w:cs="Noto Sans"/>
          <w:b w:val="0"/>
        </w:rPr>
        <w:t>Nie sprzedajemy danych osobowych ani nie tworzymy profili reklamowych między produktami. Strona korzysta z anonimowych statystyk agregowanych; niezbędne dzienniki zabezpieczeń są obsługiwane osobno.</w:t>
      </w:r>
    </w:p>
    <w:p>
      <w:pPr>
        <w:pStyle w:val="ListBullet"/>
        <w:keepLines w:val="0"/>
      </w:pPr>
      <w:r>
        <w:rPr>
          <w:rFonts w:ascii="Noto Sans" w:hAnsi="Noto Sans" w:eastAsia="Noto Sans TC" w:cs="Noto Sans"/>
          <w:b w:val="0"/>
        </w:rPr>
        <w:t>Zalogowanie się nie powoduje automatycznego przesyłania poczty, pobranych plików ani archiwów do DAWNBLOOM.</w:t>
      </w:r>
    </w:p>
    <w:p>
      <w:pPr>
        <w:pStyle w:val="ListBullet"/>
        <w:keepLines w:val="0"/>
      </w:pPr>
      <w:r>
        <w:rPr>
          <w:rFonts w:ascii="Noto Sans" w:hAnsi="Noto Sans" w:eastAsia="Noto Sans TC" w:cs="Noto Sans"/>
          <w:b w:val="0"/>
        </w:rPr>
        <w:t>Dostawcy płatności obsługują dane uwierzytelniające płatności. Zachowujemy niezbędne rekordy zamówień, zwrotów i wsparcia, a nie pełne numery kart ani hasła płatności.</w:t>
      </w:r>
    </w:p>
    <w:p>
      <w:pPr>
        <w:pStyle w:val="ListBullet"/>
        <w:keepLines w:val="0"/>
      </w:pPr>
      <w:r>
        <w:rPr>
          <w:rFonts w:ascii="Noto Sans" w:hAnsi="Noto Sans" w:eastAsia="Noto Sans TC" w:cs="Noto Sans"/>
          <w:b w:val="0"/>
        </w:rPr>
        <w:t>Możesz zarządzać swoim kontem, zsynchronizowanymi danymi lokalnymi oraz korzystać z praw do prywatności zgodnie z obowiązującym prawem.</w:t>
      </w:r>
    </w:p>
    <w:p>
      <w:pPr>
        <w:pStyle w:val="Heading1"/>
        <w:keepLines w:val="0"/>
      </w:pPr>
      <w:r>
        <w:rPr>
          <w:rFonts w:ascii="Noto Sans" w:hAnsi="Noto Sans" w:eastAsia="Noto Sans TC" w:cs="Noto Sans"/>
          <w:b w:val="0"/>
        </w:rPr>
        <w:t>1. Zakres</w:t>
      </w:r>
    </w:p>
    <w:p>
      <w:pPr>
        <w:keepLines w:val="0"/>
      </w:pPr>
      <w:r>
        <w:rPr>
          <w:rFonts w:ascii="Noto Sans" w:hAnsi="Noto Sans" w:eastAsia="Noto Sans TC" w:cs="Noto Sans"/>
          <w:b w:val="0"/>
        </w:rPr>
        <w:t xml:space="preserve">Niniejsza Polityka obejmuje dawnbloom.net, oficjalne poddomeny usług, konto DAWNBLOOM, grę, sześć aplikacji, Chasers’ Square, Wsparcie, Wróżkę, mini Gry na stronie internetowej oraz Centrum Gracza, a także wpisy przekierowań językowych regionów dawnbloom.com.cn i dawnbloom.jp wraz z ich wpisami www. Oficjalne wpisy w języku koreańskim dawnbloom.kr i www.dawnbloom.kr korzystają z przekierowań HTTPS 301 do </w:t>
      </w:r>
      <w:hyperlink r:id="rId15">
        <w:r>
          <w:rPr>
            <w:rFonts w:ascii="Noto Sans" w:hAnsi="Noto Sans" w:eastAsia="Noto Sans TC"/>
            <w:b w:val="0"/>
          </w:rPr>
          <w:t xml:space="preserve">https://dawnbloom.net/kr/.</w:t>
        </w:r>
      </w:hyperlink>
      <w:r>
        <w:rPr>
          <w:rFonts w:ascii="Noto Sans" w:hAnsi="Noto Sans" w:eastAsia="Noto Sans TC" w:cs="Noto Sans"/>
          <w:b w:val="0"/>
        </w:rPr>
        <w:t xml:space="preserve"> Zmiany DNS mogą wymagać czasu na propagację. Korzystają one z ujednoliconej strony internetowej i nie tworzą osobnej strony internetowej, konta, bazy danych ani serwera gier w języku koreańskim. Oba wpisy regionalne są otwarte i korzystają z przekierowań Cloudflare HTTPS 301 odpowiednio do ścieżek chińskiej i japońskiej głównej strony. Wpisy regionalne nie tworzą osobnych kont, baz danych ani kontrolerów informacji osobowych i nie przenoszą danych graczy. Istniejące wpisy chroniące markę pozostają wymienione w ostrzeżeniu przeciwko oszustwom. Żądania przekierowania nadal obejmują adresy IP, nagłówki i niezbędne dane połączenia; odpowiedzi Cloudflare obu wpisów zawierają również konfigurację raportowania błędów sieciowych. Przekierowanie nie ustanawia zatem braku przetwarzania. Konkretnych dzienników usług krawędziowych, ustawień bezpieczeństwa i okresów przechowywania należy weryfikować względem rzeczywistej konfiguracji usługi, a niniejsza Polityka nie składa oświadczeń o zerowym przetwarzaniu.</w:t>
      </w:r>
    </w:p>
    <w:p>
      <w:pPr>
        <w:keepLines w:val="0"/>
      </w:pPr>
      <w:r>
        <w:rPr>
          <w:rFonts w:ascii="Noto Sans" w:hAnsi="Noto Sans" w:eastAsia="Noto Sans TC" w:cs="Noto Sans"/>
          <w:b w:val="0"/>
        </w:rPr>
        <w:t>Rzeczywiste funkcje, platformy i dostępność wynikają z oficjalnych stron produktów i komunikatów wydawniczych. Niniejsza Polityka opisuje dostarczane funkcje i ich granice danych; planem nie jest dostępna usługa. Strony osób trzecich, dostawcy poczty, źródła wiadomości, sklepy i platformy płatnicze są niezależnie zarządzane, a ich zasady prywatności również mają zastosowanie.</w:t>
      </w:r>
    </w:p>
    <w:p>
      <w:pPr>
        <w:pStyle w:val="Heading1"/>
        <w:keepLines w:val="0"/>
      </w:pPr>
      <w:r>
        <w:rPr>
          <w:rFonts w:ascii="Noto Sans" w:hAnsi="Noto Sans" w:eastAsia="Noto Sans TC" w:cs="Noto Sans"/>
          <w:b w:val="0"/>
        </w:rPr>
        <w:t>2. Zasady prywatności, cele i granice między produktami</w:t>
      </w:r>
    </w:p>
    <w:p>
      <w:pPr>
        <w:keepLines w:val="0"/>
      </w:pPr>
      <w:r>
        <w:rPr>
          <w:rFonts w:ascii="Noto Sans" w:hAnsi="Noto Sans" w:eastAsia="Noto Sans TC" w:cs="Noto Sans"/>
          <w:b w:val="0"/>
        </w:rPr>
        <w:t>Przetwarzamy informacje w określonych celach i w zakresie niezbędnym do minimum. Lokalne podejście nie oznacza, że wszystkie usługi DAWNBLOOM są offline: konta, gry online, społeczność publiczna, zamówienia, Light Sync oraz niezbędne wsparcie wymagają serwerów. Nie rozszerza to zbierania na pliki lokalne ani prywatną zawartość. Wspólne konto nie pozwala grze czytać poczty, poczty czytać historii przeglądania, News czytać skrzynek zewnętrznych ani Download czytać czatu gry. Otwarcie pliku, udostępnienie lub przekazanie produktu zainicjowane przez Ciebie przetwarzane jest tylko w zakresie niezbędnym dla tej czynności.</w:t>
      </w:r>
    </w:p>
    <w:p>
      <w:pPr>
        <w:keepLines w:val="0"/>
      </w:pPr>
      <w:r>
        <w:rPr>
          <w:rFonts w:ascii="Noto Sans" w:hAnsi="Noto Sans" w:eastAsia="Noto Sans TC" w:cs="Noto Sans"/>
          <w:b w:val="0"/>
        </w:rPr>
        <w:t>Celem są żądane funkcje, uwierzytelnianie i odzyskiwanie, synchronizacja światła, interakcje z grą i rozliczenie aktywów, dostawa zamówień i wsparcie, bezpieczeństwo i zapobieganie nadużyciom, rozwiązywanie problemów, anonimowe statystyki usług oraz obowiązki prawne. W zależności od sytuacji przetwarzanie opiera się na konieczności usługi, obowiązkach prawnych, legalnej ochronie bezpieczeństwa i legitymnych praw lub Twojej zgodzie. Oddzielna zgoda, specjalna ochrona i inne wymagane procedury są realizowane tam, gdzie ma to zastosowanie.</w:t>
      </w:r>
    </w:p>
    <w:p>
      <w:pPr>
        <w:keepLines w:val="0"/>
      </w:pPr>
      <w:r>
        <w:rPr>
          <w:rFonts w:ascii="Noto Sans" w:hAnsi="Noto Sans" w:eastAsia="Noto Sans TC" w:cs="Noto Sans"/>
          <w:b w:val="0"/>
        </w:rPr>
        <w:t>Zwykłe korzystanie z konta i produktów zazwyczaj nie wymaga dokumentów tożsamości wydanych przez rząd. Dla naszych własnych operacji domyślnie nie zbieramy dokładnych danych GPS, kontaktów, danych zdrowotnych lub biometrycznych, pełnych numerów kart, haseł płatniczych, identyfikatorów reklamowych, niepotrzebnych stałych odcisków palców urządzenia ani prywatnej zawartości plików. Tam, gdzie jest to naprawdę potrzebne dla prawa, zwrotu pieniędzy dla małoletniego, sporu lub odzyskiwania wysokiego ryzyka, możemy prawnie zażądać ograniczonego dowodu z ograniczonymi celami i dostępem. Proszę usunąć niezwiązane informacje.</w:t>
      </w:r>
    </w:p>
    <w:p>
      <w:pPr>
        <w:pStyle w:val="Heading1"/>
        <w:keepLines w:val="0"/>
      </w:pPr>
      <w:r>
        <w:rPr>
          <w:rFonts w:ascii="Noto Sans" w:hAnsi="Noto Sans" w:eastAsia="Noto Sans TC" w:cs="Noto Sans"/>
          <w:b w:val="0"/>
        </w:rPr>
        <w:t>3. Kategorie informacji i główne lokalizacje</w:t>
      </w:r>
    </w:p>
    <w:p>
      <w:pPr>
        <w:keepLines w:val="0"/>
      </w:pPr>
      <w:r>
        <w:rPr>
          <w:rFonts w:ascii="Noto Sans" w:hAnsi="Noto Sans" w:eastAsia="Noto Sans TC" w:cs="Noto Sans"/>
          <w:b w:val="0"/>
        </w:rPr>
        <w:t>Konto i bezpieczeństwo: nazwa konta, e-mail, hashe haseł, region i język, rekordy weryfikacji i zgody, sesje, zaufane urządzenia, status wieloskładnikowy i niezbędne rekordy logowania lub odzyskiwania są głównie obsługiwane przez usługi konta. Gra i społeczność: postacie, aktywa, interakcje, treści publiczne, moderacja i niezbędny stan operacyjny są obsługiwane przez odpowiednią usługę online.</w:t>
      </w:r>
    </w:p>
    <w:p>
      <w:pPr>
        <w:keepLines w:val="0"/>
      </w:pPr>
      <w:r>
        <w:rPr>
          <w:rFonts w:ascii="Noto Sans" w:hAnsi="Noto Sans" w:eastAsia="Noto Sans TC" w:cs="Noto Sans"/>
          <w:b w:val="0"/>
        </w:rPr>
        <w:t>Prywatna zawartość lokalna: dane przeglądania i strony, pamięci podręczne poczty i poświadczenia dostawcy, pobrane i częściowe pliki, archiwa, wyodrębniona zawartość i ścieżki lokalne są głównie obsługiwane przez urządzenie i Twój wybrany źródło lub dostawcę. Light Sync obsługuje dozwolone ustawienia i metadane, gdy jest włączony. Zamówienia i wsparcie obejmują migawki zamówień, status zwrotu, identyfikatory żądań, Twoje wyjaśnienie i niezbędny dowód w ograniczonych usługach wsparcia. Anonimowa statystyka i dzienniki bezpieczeństwa mają różne pola, cele i okresy retencji, jak wyjaśniono w sekcjach 15, 19 i 20.</w:t>
      </w:r>
    </w:p>
    <w:p>
      <w:pPr>
        <w:pStyle w:val="Heading1"/>
        <w:keepLines w:val="0"/>
      </w:pPr>
      <w:r>
        <w:rPr>
          <w:rFonts w:ascii="Noto Sans" w:hAnsi="Noto Sans" w:eastAsia="Noto Sans TC" w:cs="Noto Sans"/>
          <w:b w:val="0"/>
        </w:rPr>
        <w:t>4. Konto DAWNBLOOM i bezpieczeństwo</w:t>
      </w:r>
    </w:p>
    <w:p>
      <w:pPr>
        <w:keepLines w:val="0"/>
      </w:pPr>
      <w:r>
        <w:rPr>
          <w:rFonts w:ascii="Noto Sans" w:hAnsi="Noto Sans" w:eastAsia="Noto Sans TC" w:cs="Noto Sans"/>
          <w:b w:val="0"/>
        </w:rPr>
        <w:t>Rejestracja wymaga zwykle nazwy konta, hasła i jego potwierdzenia, adresu e-mail, wybranego regionu prawnego oraz wymaganych wyborów polityki; numer telefonu nie jest obecnie wymagany. Język interfejsu lub sugestia oparta na adresie IP nie zastępuje wyboru regionu prawnego. Hasła są przechowywane jako zasolowane skróty nieodwracalne, a nie w formie jawnej. Bezpieczeństwo i odzyskiwanie mogą przetwarzać ograniczone historyczne skróty i powiązania, weryfikację e-maila, identyfikatory urządzeń i sesji, powiązanie Tokena, uwierzytelnianie wieloskładnikowe, awaryjne rozłączenie, lokalizacje logowania na poziomie kraju/regionu i miasta, nietypowe logowania oraz niezbędne audyty. Nie są one używane do tworzenia profili reklamowych; lokalizacje na poziomie miasta nie są precyzyjnymi danymi GPS.</w:t>
      </w:r>
    </w:p>
    <w:p>
      <w:pPr>
        <w:keepLines w:val="0"/>
      </w:pPr>
      <w:r>
        <w:rPr>
          <w:rFonts w:ascii="Noto Sans" w:hAnsi="Noto Sans" w:eastAsia="Noto Sans TC" w:cs="Noto Sans"/>
          <w:b w:val="0"/>
        </w:rPr>
        <w:t>Konta gier i związane z nimi usługi gier wymagają, aby użytkownicy mieli 18 lat lub więcej. Poza Chinami kontynentalnymi rejestracja wykorzystuje aktywny wybór zakresu wiekowego, bez pełnej daty urodzenia ani wymyślonej daty urodzenia. Gdy rejestracja i kwalifikacja wiekowa dla Chin kontynentalnych są oferowane, przesłane imiona i daty urodzenia są szyfrowane i przetwarzane w Chinach; Tokio otrzymuje tylko odniesienie do lokalnego rekordu, wynik dorosłości/kwalifikacji i zapisy potwierdzenia, a nie oryginalne pola. Obliczenia na podstawie przesłanych informacji nie są weryfikacją tożsamości z bazą danych rządowej. Dostępność rejestracji regionalnej podąża za usługą konta w danym momencie. Funkcje podstawowe aplikacji bez konta nie wymagają tym samym danych wieku gry.</w:t>
      </w:r>
    </w:p>
    <w:p>
      <w:pPr>
        <w:pStyle w:val="Heading1"/>
        <w:keepLines w:val="0"/>
      </w:pPr>
      <w:r>
        <w:rPr>
          <w:rFonts w:ascii="Noto Sans" w:hAnsi="Noto Sans" w:eastAsia="Noto Sans TC" w:cs="Noto Sans"/>
          <w:b w:val="0"/>
        </w:rPr>
        <w:t>5. Opcjonalna synchronizacja światła i granice produktów</w:t>
      </w:r>
    </w:p>
    <w:p>
      <w:pPr>
        <w:keepLines w:val="0"/>
      </w:pPr>
      <w:r>
        <w:rPr>
          <w:rFonts w:ascii="Noto Sans" w:hAnsi="Noto Sans" w:eastAsia="Noto Sans TC" w:cs="Noto Sans"/>
          <w:b w:val="0"/>
        </w:rPr>
        <w:t>Light Sync to synchronizacja światła, którą włączasz dla produktu. Obsługuje obsługiwane ustawienia i ograniczone metadane tego produktu, a nie magazynowanie w chmurze, pocztę, historię przeglądania, pliki do pobrania ani repozytoria archiwum. Podstawowe funkcje Przeglądarki, Poczty, Pobierania i Archiwum nie wymagają konta DAWNBLOOM; funkcje konta, gry i bezpieczeństwa konta same wymagają uwierzytelnienia. Dane produktów są oddzielone według funkcji. Zalogowanie się do jednego produktu nie upoważnia innych do odczytu prywatnej zawartości.</w:t>
      </w:r>
    </w:p>
    <w:p>
      <w:pPr>
        <w:keepLines w:val="0"/>
      </w:pPr>
      <w:r>
        <w:rPr>
          <w:rFonts w:ascii="Noto Sans" w:hAnsi="Noto Sans" w:eastAsia="Noto Sans TC" w:cs="Noto Sans"/>
          <w:b w:val="0"/>
        </w:rPr>
        <w:t>Wyłączenie synchronizacji Turning Light zatrzymuje przyszłą synchronizację; nie usuwa automatycznie istniejących danych w chmurze ani lokalnych. Usługa Mail oferuje obecnie kontrolę usuwania synchronizacji w chmurze, która usuwa jej ustawienia światła i wyłącza synchronizację, zachowując jednocześnie lokalne konta pocztowe, wiadomości, ustawienia i dane uwierzytelniające. Używaj odpowiedniej kontroli w innym produkcie tylko tam, gdzie jest ona faktycznie dostępna; w przeciwnym razie złóż wniosek o prywatność zgodnie z Sekcją 22. Wylogowanie różni się od usunięcia: Mail zachowuje połączenia z usługami stron trzecich i lokalne pamięci podręczne, Download i Archive zachowują pliki lokalne, a dane przeglądarki podlegają lokalnym kontrolom. Ostateczne zamknięcie konta dotyczy powiązanych danych w chmurze zgodnie z Sekcją 21; nie usuwa ono plików urządzenia ani danych dostawcy stron trzecich.</w:t>
      </w:r>
    </w:p>
    <w:p>
      <w:pPr>
        <w:pStyle w:val="Heading1"/>
        <w:keepLines w:val="0"/>
      </w:pPr>
      <w:r>
        <w:rPr>
          <w:rFonts w:ascii="Noto Sans" w:hAnsi="Noto Sans" w:eastAsia="Noto Sans TC" w:cs="Noto Sans"/>
          <w:b w:val="0"/>
        </w:rPr>
        <w:t>6. Gry online i Plac Przygód</w:t>
      </w:r>
    </w:p>
    <w:p>
      <w:pPr>
        <w:keepLines w:val="0"/>
      </w:pPr>
      <w:r>
        <w:rPr>
          <w:rFonts w:ascii="Noto Sans" w:hAnsi="Noto Sans" w:eastAsia="Noto Sans TC" w:cs="Noto Sans"/>
          <w:b w:val="0"/>
        </w:rPr>
        <w:t>Onlineowa gra DAWNBLOOM wymaga przetwarzania serwerowego kont, postaci, poziomów, ekwipunku, sprzętu, Phantom Beasts, bieżących zadań i wydarzeń, niezbędnego stanu walki, umiejętności pracy, przyjaciół, drużyn, rodzin, małżeństw, czatu, poczty messenger, handlu, ekonomii, rankingów, linków zamówień i rekordów bezpieczeństwa. Nazwy postaci, publiczne szczegóły postaci, czat i informacje transakcyjne mogą być widoczne dla graczy interaktywnych. Publiczne informacje muzealne są dystrybuowane za pośrednictwem sieci dostarczania treści; ich oglądanie nie powoduje przesyłania prywatnych treści z innych aplikacji.</w:t>
      </w:r>
    </w:p>
    <w:p>
      <w:pPr>
        <w:keepLines w:val="0"/>
      </w:pPr>
      <w:r>
        <w:rPr>
          <w:rFonts w:ascii="Noto Sans" w:hAnsi="Noto Sans" w:eastAsia="Noto Sans TC" w:cs="Noto Sans"/>
          <w:b w:val="0"/>
        </w:rPr>
        <w:t>Zwykły czat w czasie rzeczywistym jest domyślnie przechowywany przez 7 dni. Dowody bezpośrednio potrzebne do incydentów bezpieczeństwa, zgłoszeń, sporów lub obowiązków prawnych mogą być przechowywane dłużej w minimalnym niezbędnym zakresie. Wyświetlona poczta messenger i księgi dostawy przedmiotów/walut mogą mieć różne okresy. Przepływy aktywów wspierają śledzenie kradzieży, duplikacji, nienormalnych transakcji, wykorzystania błędów, oszustw i nadużywanych zwrotów, a nie marketing. Automatyczne tłumaczenie czatu gry nie jest formalnie włączone; przed jego włączeniem ujawnimy dostawcę, niezbędny tekst i międzynarodowe transfery oraz uzupełnimy stosowne powiadomienie i zgodę.</w:t>
      </w:r>
    </w:p>
    <w:p>
      <w:pPr>
        <w:keepLines w:val="0"/>
      </w:pPr>
      <w:r>
        <w:rPr>
          <w:rFonts w:ascii="Noto Sans" w:hAnsi="Noto Sans" w:eastAsia="Noto Sans TC" w:cs="Noto Sans"/>
          <w:b w:val="0"/>
        </w:rPr>
        <w:t>Plac Przygód przetwarza posty, odpowiedzi, publiczne nazwy użytkowników lub informacje o postaciach, zgłoszenia, moderację i rekordy bezpieczeństwa społeczności. Inni mogą przeglądać, kopiować lub udostępniać treści publiczne; unikaj publikowania niepotrzebnych szczegółów prywatnych. Dawnbloom Guide przetwarza Twoje pytanie i niezbędny kontekst, gdy prosisz o pomoc. Konto lub prywatne szczegóły, które wpisujesz, mogą stać się częścią tego żądania. Nie daje to temu dostępowi do plików, poczty ani historii przeglądania innych aplikacji.</w:t>
      </w:r>
    </w:p>
    <w:p>
      <w:pPr>
        <w:pStyle w:val="Heading1"/>
        <w:keepLines w:val="0"/>
      </w:pPr>
      <w:r>
        <w:rPr>
          <w:rFonts w:ascii="Noto Sans" w:hAnsi="Noto Sans" w:eastAsia="Noto Sans TC" w:cs="Noto Sans"/>
          <w:b w:val="0"/>
        </w:rPr>
        <w:t>7. DAWNBLOOM Browser</w:t>
      </w:r>
    </w:p>
    <w:p>
      <w:pPr>
        <w:keepLines w:val="0"/>
      </w:pPr>
      <w:r>
        <w:rPr>
          <w:rFonts w:ascii="Noto Sans" w:hAnsi="Noto Sans" w:eastAsia="Noto Sans TC" w:cs="Noto Sans"/>
          <w:b w:val="0"/>
        </w:rPr>
        <w:t>Podstawowe przeglądanie nie wymaga konta. Historia, karty, ciasteczka, hasła, zawartość stron, historia wyszukiwania, sesje prywatne, lokalne magazyny witryn i pobrane pliki są domyślnie przetwarzane na urządzeniu i wyłączone z Light Sync. Obecna opcjonalna synchronizacja obsługuje zakładki oraz ograniczone ustawienia wydanych platform, takie jak motyw, silnik wyszukiwania i preferencje blokowania reklam. Zakładki mogą zawierać tytuł, adres URL, folder, kolejność i czas modyfikacji. Dostępne ustawienia różnią się w zależności od platformy i podążają za wyborami synchronizacji rzeczywistej wersji; nie jest to pełna synchronizacja danych przeglądania.</w:t>
      </w:r>
    </w:p>
    <w:p>
      <w:pPr>
        <w:keepLines w:val="0"/>
      </w:pPr>
      <w:r>
        <w:rPr>
          <w:rFonts w:ascii="Noto Sans" w:hAnsi="Noto Sans" w:eastAsia="Noto Sans TC" w:cs="Noto Sans"/>
          <w:b w:val="0"/>
        </w:rPr>
        <w:t>Otwarcie strony lub wyszukanie łączy Twoje urządzenie bezpośrednio z wybraną witryną lub dostawcą wyszukiwarek, który może otrzymać adres IP, zapytanie, ciasteczka i niezbędne dane urządzenia. Uprawnienia witryn przyznane przez Ciebie są kontrolowane przez system operacyjny i przeglądarkę. Dane sesji prywatnej są wyłączone z zwykłej historii i czyszczone w ramach możliwości przeglądarki/systemu operacyjnego; nie gwarantuje to anonimowości przed witrynami, dostawcami sieci lub systemem operacyjnym. Inicjowany przez użytkownika tłumaczenie na Androidzie używa Google ML Kit na urządzeniu dla tekstu strony i wyjścia, pobierając modele według potrzeb. SDK Google mogą niezależnie obsługiwać niezbędne metadane dotyczące urządzenia, aplikacji, modelu, języka, wydajności i błędów; nie oznacza to, że tekst strony jest przesyłany do tłumaczenia.</w:t>
      </w:r>
    </w:p>
    <w:p>
      <w:pPr>
        <w:pStyle w:val="Heading1"/>
        <w:keepLines w:val="0"/>
      </w:pPr>
      <w:r>
        <w:rPr>
          <w:rFonts w:ascii="Noto Sans" w:hAnsi="Noto Sans" w:eastAsia="Noto Sans TC" w:cs="Noto Sans"/>
          <w:b w:val="0"/>
        </w:rPr>
        <w:t>8. DAWNBLOOM News</w:t>
      </w:r>
    </w:p>
    <w:p>
      <w:pPr>
        <w:keepLines w:val="0"/>
      </w:pPr>
      <w:r>
        <w:rPr>
          <w:rFonts w:ascii="Noto Sans" w:hAnsi="Noto Sans" w:eastAsia="Noto Sans TC" w:cs="Noto Sans"/>
          <w:b w:val="0"/>
        </w:rPr>
        <w:t>News to zintegrowany globalny czytnik wiadomości publicznych. Obsługujemy tytuły, streszczenia, źródła, autorów, znaczniki czasu, obrazy i oryginalne adresy URL, kategorie oraz niezbędne metadane ze źródeł publicznych stron trzecich, dystrybuując listy przez usługi dostarczania treści. Czytanie, zapisane elementy, preferencje, lokalne rekomendacje i obsługiwane wyodrębnianie Readera odbywają się głównie na urządzeniu. Pełne historie czytania, ścieżki artykuł po artykule, pełne historie wyszukiwania, prywatne kopie artykułów i dane logowania do kont źródłowych nie są domyślnie przesyłane. Nie przechowujemy pełnych artykułów stron trzecich jako Twoich prywatnych kopii w chmurze. Light Sync nie jest obecnie dostępny; planowana synchronizacja zapisanych elementów lub preferencji nie jest aktualnym przetwarzaniem.</w:t>
      </w:r>
    </w:p>
    <w:p>
      <w:pPr>
        <w:keepLines w:val="0"/>
      </w:pPr>
      <w:r>
        <w:rPr>
          <w:rFonts w:ascii="Noto Sans" w:hAnsi="Noto Sans" w:eastAsia="Noto Sans TC" w:cs="Noto Sans"/>
          <w:b w:val="0"/>
        </w:rPr>
        <w:t>Otwarcie oryginalnego artykułu lub obrazu źródłowego może spowodować, że to źródło przetworzy adres IP, pliki cookie, szczegóły urządzenia i rekordy dostępu zgodnie ze swoją polityką; niniejsza Polityka tego nie zastępuje. News może lokalnie liczyć uruchomienia i otwarcia interfejsów czytania lub wyszukiwania bez treści. Przełączniki przesyłania statystyk aplikacji są domyślnie wyłączone w oficjalnych kompilacjach; zarezerwowany interfejs usługowy nie ustanawia przesłanych ścieżek czytania. Żądania strony internetowej, kanału, modelu i pobrania oprogramowania nadal tworzą normalne żądania sieciowe i niezbędne rekordy bezpieczeństwa.</w:t>
      </w:r>
    </w:p>
    <w:p>
      <w:pPr>
        <w:pStyle w:val="Heading1"/>
        <w:keepLines w:val="0"/>
      </w:pPr>
      <w:r>
        <w:rPr>
          <w:rFonts w:ascii="Noto Sans" w:hAnsi="Noto Sans" w:eastAsia="Noto Sans TC" w:cs="Noto Sans"/>
          <w:b w:val="0"/>
        </w:rPr>
        <w:t>9. DAWNBLOOM Mail</w:t>
      </w:r>
    </w:p>
    <w:p>
      <w:pPr>
        <w:keepLines w:val="0"/>
      </w:pPr>
      <w:r>
        <w:rPr>
          <w:rFonts w:ascii="Noto Sans" w:hAnsi="Noto Sans" w:eastAsia="Noto Sans TC" w:cs="Noto Sans"/>
          <w:b w:val="0"/>
        </w:rPr>
        <w:t>Poczta to klient osoby trzeciej z połączeniami do dostawcy w czasie rzeczywistym. Wiadomości przemieszczają się głównie między Twoim urządzeniem a wybranym dostawcą; przejście na pierwszy plan lub powrót może bezpośrednio sprawdzać nową pocztę. DAWNBLOOM nie odpytuje Twojej skrzynki odbiorczej z Tokio ani nie używa swoich serwerów jako repozytoriów treści, załączników, kompletnych wiadomości, indeksów, wyszukiwań, haseł do poczty ani danych autoryzacyjnych dostawcy. Bufory i szkice są szyfrowane lokalnie. Hasła dostawcy, kody autoryzacyjne, hasła aplikacji oraz tokeny dostępu/odświeżania OAuth korzystają z bezpiecznego przechowywania na urządzeniu i są wyłączone z Light Sync. Metody połączenia zależą od dostawcy i obsługiwanej wersji platformy.</w:t>
      </w:r>
    </w:p>
    <w:p>
      <w:pPr>
        <w:keepLines w:val="0"/>
      </w:pPr>
      <w:r>
        <w:rPr>
          <w:rFonts w:ascii="Noto Sans" w:hAnsi="Noto Sans" w:eastAsia="Noto Sans TC" w:cs="Noto Sans"/>
          <w:b w:val="0"/>
        </w:rPr>
        <w:t>Opcjonalny Light Sync może obecnie obejmować motyw, język, układ, szerokości kolumn, czcionkę i gęstość, gesty przesuwania, preferencje powiadomień, podpis, lekkie reguły, domyślnego nadawcę, przypięte foldery, zasłonięte wskazówki kont, nazwy wyświetlane, kolory i kolejność. Podpisy i reguły mogą zawierać ograniczony tekst wprowadzony przez użytkownika; nie jest to synchronizacja treści wiadomości. Nowe urządzenie przywraca ustawienia light i wskazówki kont, a następnie wymaga ponownej autoryzacji lub połączenia z dostawcą. Powiadomienia, wybór załączników i pliki lokalne używają tylko uprawnień niezbędnych do faktycznej funkcji, a nie kontaktów ani dokładnej lokalizacji. Liczniki użycia lokalnego nie zawierają wiadomości ani treści wyszukiwania; oficjalne przesyłanie statystyk aplikacji jest obecnie wyłączone.</w:t>
      </w:r>
    </w:p>
    <w:p>
      <w:pPr>
        <w:pStyle w:val="Heading1"/>
        <w:keepLines w:val="0"/>
      </w:pPr>
      <w:r>
        <w:rPr>
          <w:rFonts w:ascii="Noto Sans" w:hAnsi="Noto Sans" w:eastAsia="Noto Sans TC" w:cs="Noto Sans"/>
          <w:b w:val="0"/>
        </w:rPr>
        <w:t>10. DAWNBLOOM Download i zadania międzyurządzeniowe</w:t>
      </w:r>
    </w:p>
    <w:p>
      <w:pPr>
        <w:keepLines w:val="0"/>
      </w:pPr>
      <w:r>
        <w:rPr>
          <w:rFonts w:ascii="Noto Sans" w:hAnsi="Noto Sans" w:eastAsia="Noto Sans TC" w:cs="Noto Sans"/>
          <w:b w:val="0"/>
        </w:rPr>
        <w:t>Podstawowe pobieranie nie wymaga konta; pliki przemieszczają się bezpośrednio ze źródła na urządzenie, bez pośrednictwa plików DAWNBLOOM. Zadania, ukończone i częściowe pliki, fragmenty oraz rzeczywiste ścieżki zapisu pozostają lokalne. Wersje wydane obsługują opcjonalne konto i Light Sync do motywów, języków, układu, wyboru logicznego katalogu, współbieżności i preferencji powiadomień. Logiczny katalog nie jest rzeczywistą ścieżką urządzenia. Jeśli włączysz osobno zadania międzyurządzeniowe, synchronizacja może obejmować identyfikator zadania, protokół, nazwę wyświetlaną, bezpieczny publiczny identyfikator źródła, rozmiar, czasy utworzenia/modyfikacji i podsumowanie statusu. Nazwa lub źródło mogą ujawniać to, co pobierasz; dobierz udostępnianie zadań odpowiednio.</w:t>
      </w:r>
    </w:p>
    <w:p>
      <w:pPr>
        <w:keepLines w:val="0"/>
      </w:pPr>
      <w:r>
        <w:rPr>
          <w:rFonts w:ascii="Noto Sans" w:hAnsi="Noto Sans" w:eastAsia="Noto Sans TC" w:cs="Noto Sans"/>
          <w:b w:val="0"/>
        </w:rPr>
        <w:t>Zadania międzyurządzeniowe nie przenoszą plików: inne urządzenie pobiera je ponownie z oryginalnego źródła. Pełne pliki, fragmenty, zawartość lokalna, ciasteczka, nagłówki autoryzacji, wrażliwe tokeny URL, poświadczenia prywatnych trackerów i ścieżki lokalne są wyłączone z Light Sync. Filtrowanie źródeł odrzuca wrażliwe lub niebezpieczne identyfikatory; niewspierane zadania pozostają lokalne. Adresy i uwierzytelnianie FTP, FTPS i SFTP są używane wyłącznie do łączenia się z określonym przez Ciebie serwerem. Hasła lub klucze prywatne podążają za ochroną poświadczeń po stronie urządzenia i potrzebami zadań, a nie Light Sync; inne urządzenie może wymagać ich ponownego wprowadzenia.</w:t>
      </w:r>
    </w:p>
    <w:p>
      <w:pPr>
        <w:keepLines w:val="0"/>
      </w:pPr>
      <w:r>
        <w:rPr>
          <w:rFonts w:ascii="Noto Sans" w:hAnsi="Noto Sans" w:eastAsia="Noto Sans TC" w:cs="Noto Sans"/>
          <w:b w:val="0"/>
        </w:rPr>
        <w:t>W sieciach BT, Magnet, ED2K lub innych peer-to-peer Twój adres IP, port i niezbędne identyfikatory protokołu mogą być widoczne dla trackerów, rozproszonych sieci, peerów lub węzłów ED2K. Twój wybrany serwer plików również przetwarza informacje o połączeniu. Nie jest to gwarancja anonimowego pobierania. Sieć VPN strony trzeciej podlega własnym regułom sieciowym; DAWNBLOOM nie gwarantuje jej anonimowości.</w:t>
      </w:r>
    </w:p>
    <w:p>
      <w:pPr>
        <w:pStyle w:val="Heading1"/>
        <w:keepLines w:val="0"/>
      </w:pPr>
      <w:r>
        <w:rPr>
          <w:rFonts w:ascii="Noto Sans" w:hAnsi="Noto Sans" w:eastAsia="Noto Sans TC" w:cs="Noto Sans"/>
          <w:b w:val="0"/>
        </w:rPr>
        <w:t>11. DAWNBLOOM Archive</w:t>
      </w:r>
    </w:p>
    <w:p>
      <w:pPr>
        <w:keepLines w:val="0"/>
      </w:pPr>
      <w:r>
        <w:rPr>
          <w:rFonts w:ascii="Noto Sans" w:hAnsi="Noto Sans" w:eastAsia="Noto Sans TC" w:cs="Noto Sans"/>
          <w:b w:val="0"/>
        </w:rPr>
        <w:t>Kompresja i ekstrakcja nie wymagają konta. Pliki, struktury katalogów, nazwy, zawartość, hasła do archiwów, rzeczywiste ścieżki i pliki tymczasowe są przetwarzane na urządzeniu, bez przesyłania w celu ekstrakcji w chmurze, skanowania ani analizy plików na serwerze. Wybór plików lub rzeczywiście wymagane uprawnienia do plików określają dostęp. Obecna lekka synchronizacja obsługuje tylko język, domyślny format archiwum i preset kompresji, a nie pliki, ścieżki, listy nazw plików, hasła, wyekstrahowaną zawartość ani pliki tymczasowe. Wylogowanie się lub wyłączenie synchronizacji nie usuwa plików lokalnych.</w:t>
      </w:r>
    </w:p>
    <w:p>
      <w:pPr>
        <w:pStyle w:val="Heading1"/>
        <w:keepLines w:val="0"/>
      </w:pPr>
      <w:r>
        <w:rPr>
          <w:rFonts w:ascii="Noto Sans" w:hAnsi="Noto Sans" w:eastAsia="Noto Sans TC" w:cs="Noto Sans"/>
          <w:b w:val="0"/>
        </w:rPr>
        <w:t>12. DAWNBLOOM Token i treści referencyjne</w:t>
      </w:r>
    </w:p>
    <w:p>
      <w:pPr>
        <w:keepLines w:val="0"/>
      </w:pPr>
      <w:r>
        <w:rPr>
          <w:rFonts w:ascii="Noto Sans" w:hAnsi="Noto Sans" w:eastAsia="Noto Sans TC" w:cs="Noto Sans"/>
          <w:b w:val="0"/>
        </w:rPr>
        <w:t>Token korzysta z tego samego konta DAWNBLOOM i obsługuje status powiązania, dane bezpieczeństwa uwierzytelniania, informacje o urządzeniu oraz audyty odzyskiwania/odwiązywania. Kod obrotowe są generowane lokalnie; powiązanie, weryfikacja i stan bezpieczeństwa nadal wymagają przetwarzania usługi. Nie przechowujemy każdego kodu obrotowego w zwykłych dziennikach użytkowania. Dane bezpieczeństwa Tokena są oddzielone od poczty, przeglądania i pobierania i nie są używane do marketingu.</w:t>
      </w:r>
    </w:p>
    <w:p>
      <w:pPr>
        <w:keepLines w:val="0"/>
      </w:pPr>
      <w:r>
        <w:rPr>
          <w:rFonts w:ascii="Noto Sans" w:hAnsi="Noto Sans" w:eastAsia="Noto Sans TC" w:cs="Noto Sans"/>
          <w:b w:val="0"/>
        </w:rPr>
        <w:t>Społeczność Tokena przestrzega zasad publicznej społeczności. Muzeum głównie obsługuje statyczną zawartość referencyjną przez sieć dostarczania. Wyszukiwanie, ulubione i ostatnio wyświetlane podążają za funkcjami rzeczywistej wersji; lokalne rekordy nie stają się automatycznie profilami serwera. Żądania publicznych referencji lub treści społeczności wysyłają niezbędne zapytania i normalne informacje o sieci, bez uzyskiwania prywatnej zawartości innych aplikacji.</w:t>
      </w:r>
    </w:p>
    <w:p>
      <w:pPr>
        <w:pStyle w:val="Heading1"/>
        <w:keepLines w:val="0"/>
      </w:pPr>
      <w:r>
        <w:rPr>
          <w:rFonts w:ascii="Noto Sans" w:hAnsi="Noto Sans" w:eastAsia="Noto Sans TC" w:cs="Noto Sans"/>
          <w:b w:val="0"/>
        </w:rPr>
        <w:t>13. Zamówienia płatności zwroty i rozliczenia</w:t>
      </w:r>
    </w:p>
    <w:p>
      <w:pPr>
        <w:keepLines w:val="0"/>
      </w:pPr>
      <w:r>
        <w:rPr>
          <w:rFonts w:ascii="Noto Sans" w:hAnsi="Noto Sans" w:eastAsia="Noto Sans TC" w:cs="Noto Sans"/>
          <w:b w:val="0"/>
        </w:rPr>
        <w:t>Sprzedaż i płatności na stronie internetowej podążają za kanałami faktycznie otwartymi. Zamówienia przez Steam, Apple, WeChat Pay, Alipay lub innych dostawców podążają tym kanałem i stosowanym prawem; wymienienie dostawcy nie oznacza, że każdy kanał jest otwarty. Dostawcy obsługują poświadczenia płatności; nasza baza danych biznesowych nie przechowuje pełnych numerów kart, haseł płatniczych ani kompletnych poświadczeń kont płatniczych. Możemy zachować numer zamówienia, przedmiot, kwotę, walutę, czas, kanał, status płatności/zwrotu, dostawę i niezbędne migawki kursu wymiany dla realizacji, rozliczeń, wsparcia, sporów i zgodności. Publiczne stawki generalnie nie są informacjami osobowymi, ale wersja stawki, waluta i kwota dołączone do formularza zamówienia stanowią część jego rekordu transakcji.</w:t>
      </w:r>
    </w:p>
    <w:p>
      <w:pPr>
        <w:keepLines w:val="0"/>
      </w:pPr>
      <w:r>
        <w:rPr>
          <w:rFonts w:ascii="Noto Sans" w:hAnsi="Noto Sans" w:eastAsia="Noto Sans TC" w:cs="Noto Sans"/>
          <w:b w:val="0"/>
        </w:rPr>
        <w:t>Rozliczenia obsługują zwykłe i drobne zwroty, nierozpoznane opłaty i inne żądania, w tym identyfikator żądania, konto i adres e-mail kontaktowego, migawki zamówień, walutę/kwotę, Twoje wyjaśnienie, status i zapisy przeglądu. Narracje pozostają w usługach z ograniczonym dostępem; e-mail powiadomienia zawiera tylko niezbędne podsumowania i link do oglądania, a nie pełne prywatne wyjaśnienia lub dowody. Przesłanie i przegląd nie oznaczają zautomatyzowanego wykonania zwrotu. Bezpieczne przesyłanie załączników nie jest obecnie otwarte: nie wysyłaj dokumentów tożsamości, haseł lub pełnych szczegółów karty. Jeśli dowód jest konieczny, najpierw postępuj zgodnie z odpowiednim kanałem wsparcia i minimalnym żądanym zakresem.</w:t>
      </w:r>
    </w:p>
    <w:p>
      <w:pPr>
        <w:keepLines w:val="0"/>
      </w:pPr>
      <w:r>
        <w:rPr>
          <w:rFonts w:ascii="Noto Sans" w:hAnsi="Noto Sans" w:eastAsia="Noto Sans TC" w:cs="Noto Sans"/>
          <w:b w:val="0"/>
        </w:rPr>
        <w:t>Przegląd zwrotu drobnej kwoty może, w razie potrzeby, obejmować fakty zakupu, opiekę i ograniczone dowody tożsamości. Wnioski o zwroty, linki do zamówień, niezbędne przeglądy oraz odpowiadający im status trwałego ograniczenia usług gry mogą być przechowywane dla celów wsparcia, sporów, audytów i stanu konta, a nie reklamy. Zwroty drobnych kwot nie udostępniają gry osobom poniżej wieku dorosłego. Pełne zasady zwrotów i ograniczeń gry znajdują się w Warunkach Sprzedaży i Zwrotów; wniosek o prywatność nie zastępuje przeglądu zwrotu.</w:t>
      </w:r>
    </w:p>
    <w:p>
      <w:pPr>
        <w:pStyle w:val="Heading1"/>
        <w:keepLines w:val="0"/>
      </w:pPr>
      <w:r>
        <w:rPr>
          <w:rFonts w:ascii="Noto Sans" w:hAnsi="Noto Sans" w:eastAsia="Noto Sans TC" w:cs="Noto Sans"/>
          <w:b w:val="0"/>
        </w:rPr>
        <w:t>14. Odwołania do pomocy technicznej i materiały</w:t>
      </w:r>
    </w:p>
    <w:p>
      <w:pPr>
        <w:keepLines w:val="0"/>
      </w:pPr>
      <w:r>
        <w:rPr>
          <w:rFonts w:ascii="Noto Sans" w:hAnsi="Noto Sans" w:eastAsia="Noto Sans TC" w:cs="Noto Sans"/>
          <w:b w:val="0"/>
        </w:rPr>
        <w:t>W przypadku zapytań, błędów, obaw dotyczących aktywów, odwołań o przywrócenie, skarg i raportów bezpieczeństwa otrzymujemy wiadomości, niezbędne informacje o koncie/zamówieniu, zrzuty ekranu lub ograniczone załączniki poprzez odpowiedni kanał wybrany przez użytkownika do przesłania. Użycie jest ograniczone do żądania, powiązanych sporów, bezpieczeństwa i niezbędnych obowiązków prawnych, z dostępem ograniczonym do autoryzowanego personelu i dostawców. Dane są usuwane lub anonimizowane, gdy te cele się kończą i nie ma już podstawy. Nie przesyłaj niezwiązanych plików prywatnych, pełnych skrzynek pocztowych, pełnych danych kart ani haseł.</w:t>
      </w:r>
    </w:p>
    <w:p>
      <w:pPr>
        <w:keepLines w:val="0"/>
      </w:pPr>
      <w:r>
        <w:rPr>
          <w:rFonts w:ascii="Noto Sans" w:hAnsi="Noto Sans" w:eastAsia="Noto Sans TC" w:cs="Noto Sans"/>
          <w:b w:val="0"/>
        </w:rPr>
        <w:t>Oficjalne platformy e-mailowe i społecznościowe obsługują wiadomości, adresy e-mail, załączniki i niezbędne dane techniczne zgodnie z ich politykami. Spacemail służy oficjalnej komunikacji; nie jest repozytorium dla skrzynek pocztowych stron trzecich użytkowników Mail. Nie wysyłamy reklamowych e-maili, SMS-ów ani prywatnych wiadomości marketingowych. Weryfikacja konta, bezpieczeństwo, zamówienia, sprawy wsparcia i główne kwestie serwisowe mogą wymagać powiadomień.</w:t>
      </w:r>
    </w:p>
    <w:p>
      <w:pPr>
        <w:pStyle w:val="Heading1"/>
        <w:keepLines w:val="0"/>
      </w:pPr>
      <w:r>
        <w:rPr>
          <w:rFonts w:ascii="Noto Sans" w:hAnsi="Noto Sans" w:eastAsia="Noto Sans TC" w:cs="Noto Sans"/>
          <w:b w:val="0"/>
        </w:rPr>
        <w:t>15. Pliki cookie witryny i anonimowe statystyki agregatowe</w:t>
      </w:r>
    </w:p>
    <w:p>
      <w:pPr>
        <w:keepLines w:val="0"/>
      </w:pPr>
      <w:r>
        <w:rPr>
          <w:rFonts w:ascii="Noto Sans" w:hAnsi="Noto Sans" w:eastAsia="Noto Sans TC" w:cs="Noto Sans"/>
          <w:b w:val="0"/>
        </w:rPr>
        <w:t>Strona internetowa i konto używają niezbędnych plików cookie i pamięci lokalnej do logowania, języka, bezpieczeństwa żądań, zapobiegania nadużyciom i żądanych funkcji, jak opisano w Polityce plików cookie i podobnych technologii. Pliki cookie osób trzecich i magazynowanie na stronie należą do tej witryny i różnią się od plików cookie pierwszej strony dawnbloom.net. Uprawnienia strony internetowej i aplikacji nie zastępują się nawzajem.</w:t>
      </w:r>
    </w:p>
    <w:p>
      <w:pPr>
        <w:keepLines w:val="0"/>
      </w:pPr>
      <w:r>
        <w:rPr>
          <w:rFonts w:ascii="Noto Sans" w:hAnsi="Noto Sans" w:eastAsia="Noto Sans TC" w:cs="Noto Sans"/>
          <w:b w:val="0"/>
        </w:rPr>
        <w:t>Statystyki witryny liczą ścieżki stron, oficjalne żądania plików, wyjściowe wizyty do lustrzanych odbić/sklepów i wejścia do mini-gier. Adres IP i user agent przeglądarki są tymczasowymi wejściami do codziennie rotujących hashy deduplikacji. Baza danych statystyk nie przechowuje surowego adresu IP, surowego user agenta, stałego ID odwiedzającego ani powtarzalnego śladu osobistego i nie łączy kont. Tymczasowe dzienne hashe są przechowywane co najwyżej do następnego dnia, następnie usuwane; liczby agregowane według daty, strony, produktu lub mini-gry mogą pozostać. Żądanie pliku lub kliknięcie wyjściowe nie jest ukończonym pobraniem. Usługi bezpieczeństwa sieciowego mogą oddzielnie logować adres IP i dane żądań dla bezpieczeństwa.</w:t>
      </w:r>
    </w:p>
    <w:p>
      <w:pPr>
        <w:keepLines w:val="0"/>
      </w:pPr>
      <w:r>
        <w:rPr>
          <w:rFonts w:ascii="Noto Sans" w:hAnsi="Noto Sans" w:eastAsia="Noto Sans TC" w:cs="Noto Sans"/>
          <w:b w:val="0"/>
        </w:rPr>
        <w:t>Nie sprzedajemy danych osobowych, nie udostępniamy ich w celu reklamy behawioralnej między kontekstami, nie tworzymy profili reklamowych między produktami ani nie używamy ciasteczek targetujących ani śledzenia reklam komercyjnych przez strony trzecie. Agregacja i niezbędne przetwarzanie bezpieczeństwa nie staną się odczytem prywatnych treści ani profilów marketingowych. Liczniki lokalnych aplikacji i wyłączone projekty przesyłania nie są opisywane jako żywa analityka online. Zmiany istotnego przetwarzania będą ujawniane przed wdrożeniem z wyborem wymaganym przez prawo.</w:t>
      </w:r>
    </w:p>
    <w:p>
      <w:pPr>
        <w:pStyle w:val="Heading1"/>
        <w:keepLines w:val="0"/>
      </w:pPr>
      <w:r>
        <w:rPr>
          <w:rFonts w:ascii="Noto Sans" w:hAnsi="Noto Sans" w:eastAsia="Noto Sans TC" w:cs="Noto Sans"/>
          <w:b w:val="0"/>
        </w:rPr>
        <w:t>16. Usługi stron trzecich</w:t>
      </w:r>
    </w:p>
    <w:p>
      <w:pPr>
        <w:keepLines w:val="0"/>
      </w:pPr>
      <w:r>
        <w:rPr>
          <w:rFonts w:ascii="Noto Sans" w:hAnsi="Noto Sans" w:eastAsia="Noto Sans TC" w:cs="Noto Sans"/>
          <w:b w:val="0"/>
        </w:rPr>
        <w:t>Strony trzecie otrzymują informacje potrzebne do rzeczywistej sytuacji, a nie wszystkie dane produktów. Cloudflare zapewnia bezpieczeństwo i dostarczanie treści oraz może obsługiwać adresy IP, metadane żądań i rekordy bezpieczeństwa. Apple, Google, Microsoft, Steam i inne platformy obsługują swoje sklepy, funkcje systemu operacyjnego, logowanie lub płatności zgodnie z ich zasadami, gdy są używane. Gmail, Microsoft, QQ, NetEase, iCloud lub wybrany dostawca poczty obsługuje bezpośrednią pocztę i uwierzytelnianie. Dostawcy wyszukiwarek, źródła wiadomości, FTP i inne źródła plików obsługują połączenia inicjowane przez użytkownika. Wskazana kategoria nie oznacza, że każda platforma integruje każdą funkcję.</w:t>
      </w:r>
    </w:p>
    <w:p>
      <w:pPr>
        <w:keepLines w:val="0"/>
      </w:pPr>
      <w:r>
        <w:rPr>
          <w:rFonts w:ascii="Noto Sans" w:hAnsi="Noto Sans" w:eastAsia="Noto Sans TC" w:cs="Noto Sans"/>
          <w:b w:val="0"/>
        </w:rPr>
        <w:t>Komunikaty wsparcia, platformy społecznościowe lub lustra Baidu Netdisk/Google Drive, które otwierasz, oraz niezbędne funkcjonalne SDK mają własne zasady. Sekcja 7 wyjaśnia tłumaczenie na urządzeniu ML Kit i metadane techniczne. Skonsultuj polityki dostawców w zakresie niezależnego przetwarzania, przechowywania i praw. Procesor działający na nasze instrukcje różni się od usługi działającej niezależnie.</w:t>
      </w:r>
    </w:p>
    <w:p>
      <w:pPr>
        <w:pStyle w:val="Heading1"/>
        <w:keepLines w:val="0"/>
      </w:pPr>
      <w:r>
        <w:rPr>
          <w:rFonts w:ascii="Noto Sans" w:hAnsi="Noto Sans" w:eastAsia="Noto Sans TC" w:cs="Noto Sans"/>
          <w:b w:val="0"/>
        </w:rPr>
        <w:t>17. Udostępnianie dostawców przetwarzania i ujawnianie</w:t>
      </w:r>
    </w:p>
    <w:p>
      <w:pPr>
        <w:keepLines w:val="0"/>
      </w:pPr>
      <w:r>
        <w:rPr>
          <w:rFonts w:ascii="Noto Sans" w:hAnsi="Noto Sans" w:eastAsia="Noto Sans TC" w:cs="Noto Sans"/>
          <w:b w:val="0"/>
        </w:rPr>
        <w:t>Nie ujawniamy danych osobowych stronom niezwiązanym, chyba że dla funkcji, które wybierzesz, niezbędnych procesorów, bezpośrednio związanych dochodzeń bezpieczeństwa, obowiązującego prawa lub żądań właściwych organów, ochrony znaczących legalnych praw lub legalnych zmian organizacyjnych ze środkami ostrożności. Informacje o publicznym charakterze, poście, czacie lub transakcji są pokazywane innym graczom w ramach tej funkcji. Ograniczamy cele, zakres, poufność i obowiązki bezpieczeństwa procesorów i nadzorujemy je zgodnie z obowiązującym prawem, najpierw completing wymaganą zgodę lub osobne procedury.</w:t>
      </w:r>
    </w:p>
    <w:p>
      <w:pPr>
        <w:pStyle w:val="Heading1"/>
        <w:keepLines w:val="0"/>
      </w:pPr>
      <w:r>
        <w:rPr>
          <w:rFonts w:ascii="Noto Sans" w:hAnsi="Noto Sans" w:eastAsia="Noto Sans TC" w:cs="Noto Sans"/>
          <w:b w:val="0"/>
        </w:rPr>
        <w:t>18. Lokalizacje danych i międzynarodowe przetwarzanie</w:t>
      </w:r>
    </w:p>
    <w:p>
      <w:pPr>
        <w:keepLines w:val="0"/>
      </w:pPr>
      <w:r>
        <w:rPr>
          <w:rFonts w:ascii="Noto Sans" w:hAnsi="Noto Sans" w:eastAsia="Noto Sans TC" w:cs="Noto Sans"/>
          <w:b w:val="0"/>
        </w:rPr>
        <w:t>Podstawowe dane konta, opcjonalna usługa Light Sync oraz niezbędne usługi treści i wsparcia są głównie przetwarzane przez infrastrukturę w Tokio, Japonia. Bezpieczeństwo i dystrybucja Cloudflare mogą przetwarzać żądania w regionach, w których świadczy ona usługi. Przeglądanie lokalne, pamięci podręczne poczty, pobieranie i ekstrakcja pozostają głównie na Twoim urządzeniu; komunikacja pocztowa odbywa się z Twoim dostawcą, oryginalne artykuły ze źródłem, a dane płatności z platformą płatniczą. Te usługi sieciowe mogą przetwarzać informacje w swoich lokalizacjach; nie oznacza to, że cała zawartość lokalna jest przesyłana międzynarodowo.</w:t>
      </w:r>
    </w:p>
    <w:p>
      <w:pPr>
        <w:keepLines w:val="0"/>
      </w:pPr>
      <w:r>
        <w:rPr>
          <w:rFonts w:ascii="Noto Sans" w:hAnsi="Noto Sans" w:eastAsia="Noto Sans TC" w:cs="Noto Sans"/>
          <w:b w:val="0"/>
        </w:rPr>
        <w:t>Wejście do gry może wysyłać niezbędne dane postaci, aktywów i operacyjnych do infrastruktury gier na terenie Chin kontynentalnych. Gra otrzymuje krótkotrwałe poświadczenia dostępu i minimalne dane operacyjne/językowe, nie pełny adres e-mail, prawdziwe imię i nazwisko, datę urodzenia ani kompletną historię bezpieczeństwa konta. Gdy rejestracja na terenie Chin kontynentalnych jest oferowana, imiona/daty urodzenia pozostają zaszyfrowane w Chinach; nazwa konta, e-mail, uwierzytelnienie i niezbędny stan bezpieczeństwa mogą być przenoszone do Tokio dla ujednoliconych usług. Przed wymaganymi przeniesieniami ujawniamy miejsce docelowe, cel, kategorie i prawa oraz uzysujemy osobną zgodę, jeśli ma to zastosowanie. Użytkownicy zagraniczni wchodzący do gry mogą wysyłać niezbędne dane gry do Chin. Zastosowane oceny, kontrakty, zgody lub inne mechanizmy postępują zgodnie z rzeczywistą sytuacją; ta Polityka nie twierdzi automatycznego spełnienia każdego wymogu przeniesienia.</w:t>
      </w:r>
    </w:p>
    <w:p>
      <w:pPr>
        <w:pStyle w:val="Heading1"/>
        <w:keepLines w:val="0"/>
      </w:pPr>
      <w:r>
        <w:rPr>
          <w:rFonts w:ascii="Noto Sans" w:hAnsi="Noto Sans" w:eastAsia="Noto Sans TC" w:cs="Noto Sans"/>
          <w:b w:val="0"/>
        </w:rPr>
        <w:t>19. Bezpieczeństwo i reagowanie na incydenty</w:t>
      </w:r>
    </w:p>
    <w:p>
      <w:pPr>
        <w:keepLines w:val="0"/>
      </w:pPr>
      <w:r>
        <w:rPr>
          <w:rFonts w:ascii="Noto Sans" w:hAnsi="Noto Sans" w:eastAsia="Noto Sans TC" w:cs="Noto Sans"/>
          <w:b w:val="0"/>
        </w:rPr>
        <w:t>Stosujemy rozsądne środki techniczne i organizacyjne proporcjonalne do ryzyka, w tym szyfrowany transport, hashe haseł, odpowiedne szyfrowanie lokalne i bezpieczne przechowywanie, najmniejsze uprawnienia, kontrolę dostępu, niezbędne logi, ograniczone kopie zapasowe, uwierzytelnianie wieloskładnikowe i audyty. W przypadku kradzieży, oszustwa, duplikacji przedmiotów, anomalousnych aktywów, ataków, nadużywania zwrotów lub sporów o konto, możemy badać bezpośrednio powiązane dane logowania, transakcji, aktywów, zachowanych czatów i dowodów wsparcia z ograniczonymi celami i dostępem.</w:t>
      </w:r>
    </w:p>
    <w:p>
      <w:pPr>
        <w:keepLines w:val="0"/>
      </w:pPr>
      <w:r>
        <w:rPr>
          <w:rFonts w:ascii="Noto Sans" w:hAnsi="Noto Sans" w:eastAsia="Noto Sans TC" w:cs="Noto Sans"/>
          <w:b w:val="0"/>
        </w:rPr>
        <w:t>Żaden system nie gwarantuje absolutnego bezpieczeństwa. W przypadku rzeczywistego lub podejrzanego ujawnienia, zmiany, utraty lub incydentów bezpieczeństwa badamy, ograniczamy wpływ, naprawiamy i informujemy dotkniętych użytkowników lub organy oraz współpracujemy zgodnie z prawem. Rejestry bezpieczeństwa nie są ponownie wykorzystywane do marketingu; niezbędne przechowywane dowody podlegają Sekcji 20.</w:t>
      </w:r>
    </w:p>
    <w:p>
      <w:pPr>
        <w:pStyle w:val="Heading1"/>
        <w:keepLines w:val="0"/>
      </w:pPr>
      <w:r>
        <w:rPr>
          <w:rFonts w:ascii="Noto Sans" w:hAnsi="Noto Sans" w:eastAsia="Noto Sans TC" w:cs="Noto Sans"/>
          <w:b w:val="0"/>
        </w:rPr>
        <w:t>20. Przechowywanie według kategorii</w:t>
      </w:r>
    </w:p>
    <w:p>
      <w:pPr>
        <w:pStyle w:val="ListBullet"/>
        <w:keepLines w:val="0"/>
      </w:pPr>
      <w:r>
        <w:rPr>
          <w:rFonts w:ascii="Noto Sans" w:hAnsi="Noto Sans" w:eastAsia="Noto Sans TC" w:cs="Noto Sans"/>
          <w:b w:val="0"/>
        </w:rPr>
        <w:t>Konto i synchronizacja Light: przez okres istnienia konta i potrzeby wybranej funkcji; usunięcie lub anonimizacja po spełnieniu stosownych żądań usunięcia z chmury lub ostatecznym zamknięciu, z zastrzeżeniem wyjątków prawnych, sporów i bezpieczeństwa. Wyłączenie synchronizacji lub wylogowanie się nie usuwa istniejących ustawień w chmurze. Współdzielone metadane zadań pobierania wygasają po 72 godzinach od ostatniej aktualizacji; nie powoduje to usunięcia plików na Twoich urządzeniach.</w:t>
      </w:r>
    </w:p>
    <w:p>
      <w:pPr>
        <w:pStyle w:val="ListBullet"/>
        <w:keepLines w:val="0"/>
      </w:pPr>
      <w:r>
        <w:rPr>
          <w:rFonts w:ascii="Noto Sans" w:hAnsi="Noto Sans" w:eastAsia="Noto Sans TC" w:cs="Noto Sans"/>
          <w:b w:val="0"/>
        </w:rPr>
        <w:t>Dzienniki gier, społeczności i aktywów: dla potrzeb konta/funkcji; zwykły czat domyślnie trwa 7 dni. Niezbędne transakcje, raporty lub dowody mogą być przechowywane w celu prowadzenia śledztw, sporów i obowiązków prawnych. Treści publiczne podlegają również zasadom usuwania, moderacji i wspólnego zapisu w społeczności.</w:t>
      </w:r>
    </w:p>
    <w:p>
      <w:pPr>
        <w:pStyle w:val="ListBullet"/>
        <w:keepLines w:val="0"/>
      </w:pPr>
      <w:r>
        <w:rPr>
          <w:rFonts w:ascii="Noto Sans" w:hAnsi="Noto Sans" w:eastAsia="Noto Sans TC" w:cs="Noto Sans"/>
          <w:b w:val="0"/>
        </w:rPr>
        <w:t>Dane lokalnej przeglądarki, poczty, pobierania i archiwum: kontrolowane przez Twoje działania, ustawienia produktu i zasady systemu operacyjnego do momentu wyczyszczenia lub usunięcia. Sesje prywatne podlegają limitom sesji i możliwościom technicznym. Poświadczenia poczty pozostają lokalnie do momentu usunięcia połączenia lub cofnięcia autoryzacji; dane dostawcy podlegają retencji dostawcy. Odinstalowanie może nie usunąć wszystkich plików zgodnie z zasadami systemu operacyjnego, a pobrane pliki lub pliki użytkownika mogą pozostać.</w:t>
      </w:r>
    </w:p>
    <w:p>
      <w:pPr>
        <w:pStyle w:val="ListBullet"/>
        <w:keepLines w:val="0"/>
      </w:pPr>
      <w:r>
        <w:rPr>
          <w:rFonts w:ascii="Noto Sans" w:hAnsi="Noto Sans" w:eastAsia="Noto Sans TC" w:cs="Noto Sans"/>
          <w:b w:val="0"/>
        </w:rPr>
        <w:t>Zamówienia, zwroty i finanse: zachowaj dla realizacji, rozliczeń, podatków, finansów, ochrony konsumentów i sporów. Żądania wsparcia i załączniki: przechowuj tylko do obsługi, wsparcia, skarg, bezpieczeństwa i prawa; usuń lub zanonimizuj, gdy nie są już potrzebne. Sam wiek nie stanowi, że sprawa jest zamknięta.</w:t>
      </w:r>
    </w:p>
    <w:p>
      <w:pPr>
        <w:pStyle w:val="ListBullet"/>
        <w:keepLines w:val="0"/>
      </w:pPr>
      <w:r>
        <w:rPr>
          <w:rFonts w:ascii="Noto Sans" w:hAnsi="Noto Sans" w:eastAsia="Noto Sans TC" w:cs="Noto Sans"/>
          <w:b w:val="0"/>
        </w:rPr>
        <w:t>Rejestry bezpieczeństwa i błędów: najkrótszy rozsądny okres dla ochrony usługi, śledztw i prawa; gdzie obowiązują chińskie obowiązki logowania sieciowego, co najmniej sześć miesięcy zgodnie z wymogami. Niezbędne dowody mogą być wydłużone do ograniczonego zakresu i usunięte/zanonimizowane, gdy ich cel się zakończy. Dzienne hashe stron internetowych trwają najwyżej do następnego dnia; agregaty mogą pozostać długoterminowo. Liczniki lokalnych aplikacji podlegają zasadom czyszczenia urządzenia.</w:t>
      </w:r>
    </w:p>
    <w:p>
      <w:pPr>
        <w:keepLines w:val="0"/>
      </w:pPr>
      <w:r>
        <w:rPr>
          <w:rFonts w:ascii="Noto Sans" w:hAnsi="Noto Sans" w:eastAsia="Noto Sans TC" w:cs="Noto Sans"/>
          <w:b w:val="0"/>
        </w:rPr>
        <w:t>Nie przechowujemy informacji osobowych w nieskończoność jedynie dlatego, że mogą być później przydatne. Gdy nie można podać stałego okresu, decydują o nim cel, prawo i spory. Rejestry, których nie można jeszcze prawnie usunąć, są ograniczone do przechowywania, zgodności i niezbędnej ochrony, a nie codziennego użytku produktu ani marketingu. Usuwanie kopii zapasowych odbywa się zgodnie z bezpieczną rotacją i procedurami ochrony odzyskiwania; kopie zapasowe nie uzasadniają kontynuowania używania usuniętych danych.</w:t>
      </w:r>
    </w:p>
    <w:p>
      <w:pPr>
        <w:pStyle w:val="Heading1"/>
        <w:keepLines w:val="0"/>
      </w:pPr>
      <w:r>
        <w:rPr>
          <w:rFonts w:ascii="Noto Sans" w:hAnsi="Noto Sans" w:eastAsia="Noto Sans TC" w:cs="Noto Sans"/>
          <w:b w:val="0"/>
        </w:rPr>
        <w:t>21. Okres oczekiwania przed zamknięciem konta i usunięcie</w:t>
      </w:r>
    </w:p>
    <w:p>
      <w:pPr>
        <w:keepLines w:val="0"/>
      </w:pPr>
      <w:r>
        <w:rPr>
          <w:rFonts w:ascii="Noto Sans" w:hAnsi="Noto Sans" w:eastAsia="Noto Sans TC" w:cs="Noto Sans"/>
          <w:b w:val="0"/>
        </w:rPr>
        <w:t>Wniosek o zamknięcie konta podlega 15-dniowemu okresowi karencji. Dostęp do witryny gry zostaje zawieszony, nazwa użytkownika i adres e-mail pozostają zarezerwowane, a postacie i aktywa gry pozostają nienaruszone, ale nie można ich przenosić, darować ani handlować. Zwykłe zalogowanie nie cofa wniosku; przywrócenie dostępu wymaga wyraźnej rezygnacji oraz weryfikacji danych uwierzytelniających. Zamknięcie nie pozwala na uniknięcie kar, salda ujemnego lub nierozstrzygniętych sporów.</w:t>
      </w:r>
    </w:p>
    <w:p>
      <w:pPr>
        <w:keepLines w:val="0"/>
      </w:pPr>
      <w:r>
        <w:rPr>
          <w:rFonts w:ascii="Noto Sans" w:hAnsi="Noto Sans" w:eastAsia="Noto Sans TC" w:cs="Noto Sans"/>
          <w:b w:val="0"/>
        </w:rPr>
        <w:t>Po upływie tego okresu, bez rezygnacji i po niezbędnych krokach usuwania, dane uwierzytelniające, sesje i tokeny przestają działać, a postacie i aktywa gry stają się trwale niedostępne, bez możliwości przeniesienia lub przywrócenia poprzez ponowną rejestrację. Nazwa użytkownika/e-mail mogą być ponownie wykorzystane po ostatecznym zamknięciu, ale nowe konto ma nową tożsamość niezwiązaną ze starymi aktywami, tożsamością forum czy historią. Zwykłe konto i powiązane dane chmurowe są usuwane lub nieodwracalnie anonimizowane. Wspólne zapisy forum, rodzinne, handlowe i rankingowe mogą pozostać po usunięciu powiązań tożsamościowych, bez usuwania informacji innych osób. Jeśli warstwa rezydencji w Chinach posiada powiązany rekord tożsamościowy, jego usunięcie/anonimizacja musi zostać potwierdzone.</w:t>
      </w:r>
    </w:p>
    <w:p>
      <w:pPr>
        <w:keepLines w:val="0"/>
      </w:pPr>
      <w:r>
        <w:rPr>
          <w:rFonts w:ascii="Noto Sans" w:hAnsi="Noto Sans" w:eastAsia="Noto Sans TC" w:cs="Noto Sans"/>
          <w:b w:val="0"/>
        </w:rPr>
        <w:t>Minimalne zapisy dotyczące płatności, zwrotów, zapobiegania oszustwom, prawa, incydentów i nierozstrzygniętych sporów mogą być prawnie zachowane. Zamknięcie nie powoduje automatycznego usunięcia plików lokalnych, pamięci podręcznej poczty, treści przeglądarki ani kont poczty stron trzecich; należy nimi zarządzać na urządzeniu lub u dostawcy. Żądania synchronizacji chmury lub usunięcia konta korzystają z rzeczywistych funkcji konta lub Sekcji 22. Nie obiecujemy niedostępnych funkcji eksportu jednym kliknięciem lub usunięcia wszystkich danych.</w:t>
      </w:r>
    </w:p>
    <w:p>
      <w:pPr>
        <w:pStyle w:val="Heading1"/>
        <w:keepLines w:val="0"/>
      </w:pPr>
      <w:r>
        <w:rPr>
          <w:rFonts w:ascii="Noto Sans" w:hAnsi="Noto Sans" w:eastAsia="Noto Sans TC" w:cs="Noto Sans"/>
          <w:b w:val="0"/>
        </w:rPr>
        <w:t>22. Twoje prawa i procedura wnioskowania</w:t>
      </w:r>
    </w:p>
    <w:p>
      <w:pPr>
        <w:keepLines w:val="0"/>
      </w:pPr>
      <w:r>
        <w:rPr>
          <w:rFonts w:ascii="Noto Sans" w:hAnsi="Noto Sans" w:eastAsia="Noto Sans TC" w:cs="Noto Sans"/>
          <w:b w:val="0"/>
        </w:rPr>
        <w:t>Zgodnie z obowiązującym prawem możesz żądać informacji o przetwarzaniu, dostępu/kopiowania/poprawki/dopełnienia danych, żądać usunięcia, ograniczenia lub sprzeciwu, wycofać zgodę, którą można wycofać, wyłączyć Light Sync, żądać zamknięcia, a tam gdzie warunki prawne są spełnione, żądać przenoszenia lub transferu, składać skargi lub domagać się wyjaśnień. Wycofanie nie wpływa na wcześniejsze lawful processing; wycofanie niezbędnego przetwarzania może uniemożliwić odpowiednią usługę.</w:t>
      </w:r>
    </w:p>
    <w:p>
      <w:pPr>
        <w:keepLines w:val="0"/>
      </w:pPr>
      <w:r>
        <w:rPr>
          <w:rFonts w:ascii="Noto Sans" w:hAnsi="Noto Sans" w:eastAsia="Noto Sans TC" w:cs="Noto Sans"/>
          <w:b w:val="0"/>
        </w:rPr>
        <w:t xml:space="preserve">Rozpocznij poprzez linki do prywatności, zarządzania kontem lub kontaktu w dziale Wsparcia lub na adres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Zidentyfikuj produkt, typ żądania, powiązane konto i niezbędne fakty bez haseł lub nieistotnych dowodów. Możemy w sposób rozsądny zweryfikować tożsamość w przypadku żądań o wysokim ryzyku i odpowiedzieć w terminach przewidzianych przez prawo. Jeśli przepisy pozwalają na ograniczenie lub odmowę powtarzalnych, oszustwych, nadmiernych lub szkodliwych dla praw żądań, wyjaśnimy dlaczego. Danych dostępnych tylko na urządzeniu, których nie posiadamy, należy zarządzać lokalnie; dane stron trzecich wymagają kierowania wniosków do tych podmiotów. Nie istnieje uniwersalne eksportowanie archiwum danych jednym kliknięciem.</w:t>
      </w:r>
    </w:p>
    <w:p>
      <w:pPr>
        <w:pStyle w:val="Heading1"/>
        <w:keepLines w:val="0"/>
      </w:pPr>
      <w:r>
        <w:rPr>
          <w:rFonts w:ascii="Noto Sans" w:hAnsi="Noto Sans" w:eastAsia="Noto Sans TC" w:cs="Noto Sans"/>
          <w:b w:val="0"/>
        </w:rPr>
        <w:t>23. Nieletni</w:t>
      </w:r>
    </w:p>
    <w:p>
      <w:pPr>
        <w:keepLines w:val="0"/>
      </w:pPr>
      <w:r>
        <w:rPr>
          <w:rFonts w:ascii="Noto Sans" w:hAnsi="Noto Sans" w:eastAsia="Noto Sans TC" w:cs="Noto Sans"/>
          <w:b w:val="0"/>
        </w:rPr>
        <w:t>Konta gier, rozgrywka, udział w Placu Przygodzinym i związane usługi sklepu z grami wymagają obecnie ukończenia 18 lat. Przeglądanie publicznych stron nie podlega tej granicy. Ogólnego przeznaczenia aplikacje podstawowe, takie jak Przeglądarka, nie nabywają uniwersalnego wymogu 18+ lub daty urodzenia z niniejszej Polityki; nadal obowiązują lokalne prawa, sklepy oraz reguły wieku usług docelowych. Zwroty dla nieletnich dotyczą rzeczywistych lub spornych wydatków bez łagodzenia kwalifikacji do gry. Dowody dotyczące nieletnich/opiekunów są ograniczone do przeglądu, wsparcia i prawa z odpowiednimi środkami ochrony, a nie profilami reklamowymi dzieci. Wymagana zgoda opiekuna lub specjalne procedury poprzedzają odpowiednie przetwarzanie.</w:t>
      </w:r>
    </w:p>
    <w:p>
      <w:pPr>
        <w:pStyle w:val="Heading1"/>
        <w:keepLines w:val="0"/>
      </w:pPr>
      <w:r>
        <w:rPr>
          <w:rFonts w:ascii="Noto Sans" w:hAnsi="Noto Sans" w:eastAsia="Noto Sans TC" w:cs="Noto Sans"/>
          <w:b w:val="0"/>
        </w:rPr>
        <w:t>24. Chiny kontynentalne</w:t>
      </w:r>
    </w:p>
    <w:p>
      <w:pPr>
        <w:keepLines w:val="0"/>
      </w:pPr>
      <w:r>
        <w:rPr>
          <w:rFonts w:ascii="Noto Sans" w:hAnsi="Noto Sans" w:eastAsia="Noto Sans TC" w:cs="Noto Sans"/>
          <w:b w:val="0"/>
        </w:rPr>
        <w:t>Gdzie ma zastosowanie prawo chińskie, stosujemy się do prawnego, uczciwego, niezbędnego i dobrosądzowego przetwarzania oraz ujawniamy kontrolera, cel, metodę, kategorie, okres przechowywania i kanały praw. Dostępność rejestracji w Chinach kontynentalnych zależy od aktualnej usługi konta. Gdzie jest oferowana kwalifikacja wiekowa, Sekcje 4 i 18 regulują przetwarzanie krajowych imion/dat urodzenia bez wysyłania oryginalnych pól do Tokio. Wymagane powiadomienie o transferze, osobna zgoda i środki ochronne poprzedzają transfery. Język interfejsu nie określa regionu prawnego.</w:t>
      </w:r>
    </w:p>
    <w:p>
      <w:pPr>
        <w:keepLines w:val="0"/>
      </w:pPr>
      <w:r>
        <w:rPr>
          <w:rFonts w:ascii="Noto Sans" w:hAnsi="Noto Sans" w:eastAsia="Noto Sans TC" w:cs="Noto Sans"/>
          <w:b w:val="0"/>
        </w:rPr>
        <w:t xml:space="preserve">Możesz realizować przysługujące Ci prawa do informacji, decydowania, ograniczenia lub sprzeciwu wobec przetwarzania, dostępu, kopiowania, poprawiania, uzupełniania, usuwania i przenoszenia danych, a także zamknąć konto, składając wniosek na adres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lub za pośrednictwem Wsparcia. Informujemy o skutkach wycofania zgody na niezbędne przetwarzanie. Przenoszenie danych jest zgodne z rzeczywistym zakresem i warunkami prawnymi; wewnętrzne statystyki nie zastępują procedur prawnych.</w:t>
      </w:r>
    </w:p>
    <w:p>
      <w:pPr>
        <w:pStyle w:val="Heading1"/>
        <w:keepLines w:val="0"/>
      </w:pPr>
      <w:r>
        <w:rPr>
          <w:rFonts w:ascii="Noto Sans" w:hAnsi="Noto Sans" w:eastAsia="Noto Sans TC" w:cs="Noto Sans"/>
          <w:b w:val="0"/>
        </w:rPr>
        <w:t>25. Stany Zjednoczone</w:t>
      </w:r>
    </w:p>
    <w:p>
      <w:pPr>
        <w:keepLines w:val="0"/>
      </w:pPr>
      <w:r>
        <w:rPr>
          <w:rFonts w:ascii="Noto Sans" w:hAnsi="Noto Sans" w:eastAsia="Noto Sans TC" w:cs="Noto Sans"/>
          <w:b w:val="0"/>
        </w:rPr>
        <w:t>W przypadku zastosowania praw państwowych lub federalnych dotyczących prywatności, zapewniamy prawa podlegające ich warunkom, w tym prawo do dostępu/wiedzy, sprostowania, usunięcia, przenośności danych, sprzeciwu wobec sprzedaży lub udostępniania oraz odwołań, bez nielegalnej dyskryminacji. Stosowne uprawnienia z kalifornijskiego CCPA/CPRA mogą również obejmować ograniczenie określonych użyć danych wrażliwych. Nie sprzedajemy informacji osobowych ani nie udostępniamy ich w celu behawioralnego reklamowania międzykontekstowego; sprzedaż/udostępnianie podlegają stosownym definicjom prawnym, a nie założeniu, że niezbędni procesorzy są częścią reklamy. Nie twierdzimy, że każde prawo stanowe stosuje się bezwarunkowo ani że prawo dotyczące prywatności dzieci jest kategorialnie nienależne. Skorzystaj z Sekcji 22; dostępne mogą być upoważnieni agenci lub skargi regulacyjne zgodnie z obowiązującym prawem.</w:t>
      </w:r>
    </w:p>
    <w:p>
      <w:pPr>
        <w:pStyle w:val="Heading1"/>
        <w:keepLines w:val="0"/>
      </w:pPr>
      <w:r>
        <w:rPr>
          <w:rFonts w:ascii="Noto Sans" w:hAnsi="Noto Sans" w:eastAsia="Noto Sans TC" w:cs="Noto Sans"/>
          <w:b w:val="0"/>
        </w:rPr>
        <w:t>26. Japonia</w:t>
      </w:r>
    </w:p>
    <w:p>
      <w:pPr>
        <w:keepLines w:val="0"/>
      </w:pPr>
      <w:r>
        <w:rPr>
          <w:rFonts w:ascii="Noto Sans" w:hAnsi="Noto Sans" w:eastAsia="Noto Sans TC" w:cs="Noto Sans"/>
          <w:b w:val="0"/>
        </w:rPr>
        <w:t>Dla użytkowników w Japonii określamy cele i ogólnie wykorzystujemy dane osobowe w ramach tych celów, z niezbędnymi środkami bezpieczeństwa i nadzorem nad procesorem. W zakresie stosowania japońskiego APPI obsługujemy żądania ujawnienia, sprostowania, zawieszenia użytkowania, usunięcia oraz zawieszenia przekazywania przez strony trzecie przechowywanych danych osobowych na jego warunkach. Podstawowe dane konta japońskiego znajdują się głównie w Tokio; wejście do gry może wiązać się z niezbędną przetwarzaniem gier w Chinach, bez przenoszenia całej lokalnej treści prywatnej.</w:t>
      </w:r>
    </w:p>
    <w:p>
      <w:pPr>
        <w:keepLines w:val="0"/>
      </w:pPr>
      <w:r>
        <w:rPr>
          <w:rFonts w:ascii="Noto Sans" w:hAnsi="Noto Sans" w:eastAsia="Noto Sans TC" w:cs="Noto Sans"/>
          <w:b w:val="0"/>
        </w:rPr>
        <w:t>W przypadku przekazywania stronom trzecim lub przetwarzania za granicą podlegającego japońskim zasadom, opisujemy rzeczywiste kategorie odbiorców, cele, dane i prawa oraz dostarczamy wymaganych informacji, uzyskujemy niezbędne potwierdzenia lub stosujemy inne prawne środki zabezpieczenia. Wymagania prawne zależą od sytuacji; sam przycisk zgody nie spełnia każdego wymogu. Wybór przedziału wiekowego konta gry w Japonii obsługuje niezbędną kwalifikację dorosłych bez wynalezionych dat urodzenia.</w:t>
      </w:r>
    </w:p>
    <w:p>
      <w:pPr>
        <w:pStyle w:val="Heading1"/>
        <w:keepLines w:val="0"/>
      </w:pPr>
      <w:r>
        <w:rPr>
          <w:rFonts w:ascii="Noto Sans" w:hAnsi="Noto Sans" w:eastAsia="Noto Sans TC" w:cs="Noto Sans"/>
          <w:b w:val="0"/>
        </w:rPr>
        <w:t>27. Aktualizacja polityki</w:t>
      </w:r>
    </w:p>
    <w:p>
      <w:pPr>
        <w:keepLines w:val="0"/>
      </w:pPr>
      <w:r>
        <w:rPr>
          <w:rFonts w:ascii="Noto Sans" w:hAnsi="Noto Sans" w:eastAsia="Noto Sans TC" w:cs="Noto Sans"/>
          <w:b w:val="0"/>
        </w:rPr>
        <w:t>Zmiany funkcji, dostawców, kategorii danych, prawa lub bezpieczeństwa mogą wymagać zaktualizowanej Polityki z wersją, rewizją i datami wejścia w życie. Istotne zmiany są ogłaszane poprzez stronę internetową, powiadomienia produktowe lub rozsądne środki. Nowe przetwarzanie danych wrażliwych, niepotrzebne śledzenie lub istotne zmiany transferu otrzymują dodatkowe powiadomienie i zgodę tam, gdzie wymaga tego prawo. Trzy języki są zgodne w zakresie granic danych i znaczenia prawnego. Centrum prywatności konsumenta jest czytelnym wyjaśnieniem, nie zastępstwem dla tej pełnej Polityki.</w:t>
      </w:r>
    </w:p>
    <w:p>
      <w:pPr>
        <w:pStyle w:val="Heading1"/>
        <w:keepLines w:val="0"/>
      </w:pPr>
      <w:r>
        <w:rPr>
          <w:rFonts w:ascii="Noto Sans" w:hAnsi="Noto Sans" w:eastAsia="Noto Sans TC" w:cs="Noto Sans"/>
          <w:b w:val="0"/>
        </w:rPr>
        <w:t>28. Skontaktuj się z nami</w:t>
      </w:r>
    </w:p>
    <w:p>
      <w:pPr>
        <w:keepLines w:val="0"/>
      </w:pPr>
      <w:r>
        <w:rPr>
          <w:rFonts w:ascii="Noto Sans" w:hAnsi="Noto Sans" w:eastAsia="Noto Sans TC" w:cs="Noto Sans"/>
          <w:b w:val="0"/>
        </w:rPr>
        <w:t xml:space="preserve">Prywatność i wnioski prawne: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Wsparcie produktu, konta i ogólne: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Rozliczenia/zwroty: Centrum rozliczeń na stronie lub </w:t>
      </w:r>
      <w:hyperlink r:id="rId16">
        <w:r>
          <w:rPr>
            <w:rFonts w:ascii="Noto Sans" w:hAnsi="Noto Sans" w:eastAsia="Noto Sans TC"/>
            <w:b w:val="0"/>
          </w:rPr>
          <w:t xml:space="preserve">billing@dawnbloom.net</w:t>
        </w:r>
      </w:hyperlink>
      <w:r>
        <w:rPr>
          <w:rFonts w:ascii="Noto Sans" w:hAnsi="Noto Sans" w:eastAsia="Noto Sans TC" w:cs="Noto Sans"/>
          <w:b w:val="0"/>
        </w:rPr>
        <w:t xml:space="preserve">. Incydenty i luki w zabezpieczeniach: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 Wsparcie pozwala wybrać typ problemu; ustawienia konta zarządzają dostępem, urządzeniami, uwierzytelnianiem wieloskładnikowym i zamknięciem. Odpowiadamy zgodnie z wnioskiem i obowiązującym prawem. Nie musisz publikować danych osobowych, aby złożyć wniosek.</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Polityka Prywatności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