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spacing w:after="240"/>
        <w:jc w:val="center"/>
      </w:pPr>
      <w:r>
        <w:rPr>
          <w:rFonts w:ascii="Noto Sans" w:hAnsi="Noto Sans" w:eastAsia="Arial Unicode MS" w:cs="Noto Sans"/>
          <w:b/>
          <w:color w:val="142032"/>
          <w:sz w:val="40"/>
        </w:rPr>
        <w:t>Zasady Gracza i Polityka Egzekucji DAWNBLOOM</w:t>
      </w:r>
    </w:p>
    <w:p>
      <w:pPr>
        <w:keepLines w:val="0"/>
      </w:pPr>
      <w:r>
        <w:rPr>
          <w:rFonts w:ascii="Noto Sans" w:hAnsi="Noto Sans" w:eastAsia="Arial Unicode MS" w:cs="Noto Sans"/>
          <w:b w:val="0"/>
        </w:rPr>
        <w:t>Wersja oficjalna</w:t>
      </w:r>
    </w:p>
    <w:p>
      <w:pPr>
        <w:keepLines w:val="0"/>
      </w:pPr>
      <w:r>
        <w:rPr>
          <w:rFonts w:ascii="Noto Sans" w:hAnsi="Noto Sans" w:eastAsia="Arial Unicode MS" w:cs="Noto Sans"/>
          <w:b w:val="0"/>
        </w:rPr>
        <w:t>Zasady Graczy i Polityka Egzekwowania</w:t>
      </w:r>
    </w:p>
    <w:p>
      <w:pPr>
        <w:keepLines w:val="0"/>
      </w:pPr>
      <w:r>
        <w:rPr>
          <w:rFonts w:ascii="Noto Sans" w:hAnsi="Noto Sans" w:eastAsia="Arial Unicode MS" w:cs="Noto Sans"/>
          <w:b w:val="0"/>
        </w:rPr>
        <w:t>Oficjalna wersja chińska · Wersja V8</w:t>
      </w:r>
    </w:p>
    <w:p>
      <w:pPr>
        <w:keepLines w:val="0"/>
      </w:pPr>
      <w:r>
        <w:rPr>
          <w:rFonts w:ascii="Noto Sans" w:hAnsi="Noto Sans" w:eastAsia="Arial Unicode MS" w:cs="Noto Sans"/>
          <w:b w:val="0"/>
        </w:rPr>
        <w:t>Data aktualizacji: 10 października 2026 r.</w:t>
      </w:r>
    </w:p>
    <w:p>
      <w:pPr>
        <w:keepLines w:val="0"/>
      </w:pPr>
      <w:r>
        <w:rPr>
          <w:rFonts w:ascii="Noto Sans" w:hAnsi="Noto Sans" w:eastAsia="Arial Unicode MS" w:cs="Noto Sans"/>
          <w:b w:val="0"/>
        </w:rPr>
        <w:t>Data wejścia w życie: 10 października 2026 r.</w:t>
      </w:r>
    </w:p>
    <w:tbl>
      <w:tblPr>
        <w:tblStyle w:val="TableGrid"/>
        <w:tblW w:type="auto" w:w="0"/>
        <w:tblLayout w:type="autofit"/>
        <w:tblLook w:firstColumn="1" w:firstRow="1" w:lastColumn="0" w:lastRow="0" w:noHBand="0" w:noVBand="1" w:val="04A0"/>
      </w:tblPr>
      <w:tblGrid>
        <w:gridCol w:w="9746"/>
      </w:tblGrid>
      <w:tr>
        <w:trPr>
          <w:cantSplit/>
        </w:trPr>
        <w:tc>
          <w:tcPr>
            <w:tcW w:type="dxa" w:w="9746"/>
            <w:vAlign w:val="center"/>
          </w:tcPr>
          <w:p>
            <w:pPr>
              <w:spacing w:after="40"/>
            </w:pPr>
            <w:r>
              <w:rPr>
                <w:rFonts w:ascii="Noto Sans" w:hAnsi="Noto Sans" w:eastAsia="Arial Unicode MS" w:cs="Noto Sans"/>
                <w:sz w:val="17"/>
              </w:rPr>
              <w:t>Ważne ogłoszenie</w:t>
              <w:br/>
              <w:t>Niniejszy dokument ustanawia standardy zachowania graczy, zasady oceny naruszeń oraz ramy egzekwowania w grze DAWNBLOOM. Tymczasowa zawieszenie konta nie jest rutynową karą zgodnie z tymi zasadami; najwyższą karą wewnątrz gry jest trwałe odosobnienie (więzienie). W przypadkach, gdy obowiązujące prawo, rozporządzenie regulacyjne lub zasada platformy wymaga zaprzestania świadczenia usług konkretnemu użytkownikowi, operator działa zgodnie z tym wymogiem; taka sytuacja nie stanowi rutynowej kary wewnątrz gry zgodnie z niniejszymi zasadami.</w:t>
            </w:r>
          </w:p>
        </w:tc>
      </w:tr>
    </w:tbl>
    <w:p>
      <w:pPr>
        <w:spacing w:after="40"/>
      </w:pPr>
    </w:p>
    <w:p>
      <w:pPr>
        <w:pStyle w:val="Heading1"/>
        <w:keepLines w:val="0"/>
      </w:pPr>
      <w:r>
        <w:rPr>
          <w:rFonts w:ascii="Noto Sans" w:hAnsi="Noto Sans" w:eastAsia="Arial Unicode MS" w:cs="Noto Sans"/>
          <w:b w:val="0"/>
        </w:rPr>
        <w:t>I. Krótkie streszczenie dla graczy</w:t>
      </w:r>
    </w:p>
    <w:p>
      <w:pPr>
        <w:keepLines w:val="0"/>
      </w:pPr>
      <w:r>
        <w:rPr>
          <w:rFonts w:ascii="Noto Sans" w:hAnsi="Noto Sans" w:eastAsia="Arial Unicode MS" w:cs="Noto Sans"/>
          <w:b w:val="0"/>
        </w:rPr>
        <w:t>Dążymy do tego, aby DAWNBLOOM pozostawał wolny, zabawny, umożliwiający handel i angażujący społecznie, jednak wolność nie oznacza prawa do zakłócania doświadczeń innych graczy. Poniższe pięć zasad reprezentuje główne granice niniejszego dokumentu Zasad Gracza.</w:t>
      </w:r>
    </w:p>
    <w:p>
      <w:pPr>
        <w:pStyle w:val="ListBullet"/>
        <w:keepLines w:val="0"/>
      </w:pPr>
      <w:r>
        <w:rPr>
          <w:rFonts w:ascii="Noto Sans" w:hAnsi="Noto Sans" w:eastAsia="Arial Unicode MS" w:cs="Noto Sans"/>
          <w:b w:val="0"/>
        </w:rPr>
        <w:t>Sprawiedliwa gra: Gracze nie muszą korzystać z haków, skryptów oszustw, złośliwej automatyzacji, manipulacji klientem, wykorzystywania luk w zabezpieczeniach ani żadnych innych metod mających na celu uzyskanie nieuczciwej przewagi.</w:t>
      </w:r>
    </w:p>
    <w:p>
      <w:pPr>
        <w:pStyle w:val="ListBullet"/>
        <w:keepLines w:val="0"/>
      </w:pPr>
      <w:r>
        <w:rPr>
          <w:rFonts w:ascii="Noto Sans" w:hAnsi="Noto Sans" w:eastAsia="Arial Unicode MS" w:cs="Noto Sans"/>
          <w:b w:val="0"/>
        </w:rPr>
        <w:t>Zasada uczciwych transakcji: Normalne zachowania wewnątrz gry, takie jak handel, prezentowanie przedmiotów i wystawianie artykułów w sklepie, są chronione; działania oszustwa, kradzież kont, nienaturalne transfery, kopiowanie przedmiotów oraz transfery typu pranie pieniędzy będą badane i cofane.</w:t>
      </w:r>
    </w:p>
    <w:p>
      <w:pPr>
        <w:pStyle w:val="ListBullet"/>
        <w:keepLines w:val="0"/>
      </w:pPr>
      <w:r>
        <w:rPr>
          <w:rFonts w:ascii="Noto Sans" w:hAnsi="Noto Sans" w:eastAsia="Arial Unicode MS" w:cs="Noto Sans"/>
          <w:b w:val="0"/>
        </w:rPr>
        <w:t>Szacunek dla innych: Gracze nie powinni angażować się w uporczywy molestowanie, groźby, naruszenie prywatności, podszywanie się pod oficjalne kanały, rozpowszechnianie złośliwych linków ani organizowanie szkody fizycznej skierowanej przeciwko konkretnym graczom.</w:t>
      </w:r>
    </w:p>
    <w:p>
      <w:pPr>
        <w:pStyle w:val="ListBullet"/>
        <w:keepLines w:val="0"/>
      </w:pPr>
      <w:r>
        <w:rPr>
          <w:rFonts w:ascii="Noto Sans" w:hAnsi="Noto Sans" w:eastAsia="Arial Unicode MS" w:cs="Noto Sans"/>
          <w:b w:val="0"/>
        </w:rPr>
        <w:t>Ochrona porządku wewnątrz gry: Gracze nie powinni złośliwie atakować serwerów, zakłócać usług, destabilizować gospodarki wewnątrz gry, masowo żądać nagród ani używać wielu kont w celu uniknięcia kar.</w:t>
      </w:r>
    </w:p>
    <w:p>
      <w:pPr>
        <w:pStyle w:val="ListBullet"/>
        <w:keepLines w:val="0"/>
      </w:pPr>
      <w:r>
        <w:rPr>
          <w:rFonts w:ascii="Noto Sans" w:hAnsi="Noto Sans" w:eastAsia="Arial Unicode MS" w:cs="Noto Sans"/>
          <w:b w:val="0"/>
        </w:rPr>
        <w:t>Kary są wprowadzane w celu przywrócenia porządku: środki mogą obejmować ostrzeżenia, wyciszenie, wymuszenie wylogowania, tymczasowe/trwałe odosobnienie (więzienie), zamrożenie lub konfiskatę przedmiotów wirtualnych, potrącenie wartości, ograniczenia transakcyjne, zmiany nazw, rozwiązywanie gildii oraz usuwanie treści ze społeczności na oficjalnej stronie internetowej, wśród innych.</w:t>
      </w:r>
    </w:p>
    <w:tbl>
      <w:tblPr>
        <w:tblStyle w:val="TableGrid"/>
        <w:tblW w:type="auto" w:w="0"/>
        <w:tblLayout w:type="autofit"/>
        <w:tblLook w:firstColumn="1" w:firstRow="1" w:lastColumn="0" w:lastRow="0" w:noHBand="0" w:noVBand="1" w:val="04A0"/>
      </w:tblPr>
      <w:tblGrid>
        <w:gridCol w:w="9746"/>
      </w:tblGrid>
      <w:tr>
        <w:trPr>
          <w:cantSplit/>
        </w:trPr>
        <w:tc>
          <w:tcPr>
            <w:tcW w:type="dxa" w:w="9746"/>
            <w:vAlign w:val="center"/>
          </w:tcPr>
          <w:p>
            <w:pPr>
              <w:spacing w:after="40"/>
            </w:pPr>
            <w:r>
              <w:rPr>
                <w:rFonts w:ascii="Noto Sans" w:hAnsi="Noto Sans" w:eastAsia="Arial Unicode MS" w:cs="Noto Sans"/>
                <w:sz w:val="17"/>
              </w:rPr>
              <w:t>Najwyższą karą nie jest "zawieszenie konta"</w:t>
              <w:br/>
              <w:t>DAWNBLOOM nie stosuje tymczasowego zawieszenia konta jako rutynowej kary. Konta, które powodują wyjątkowo poważne, długotrwałe lub powtarzające się zakłócenia porządku w grze, mogą zostać trwale odizolowane w środowisku więziennym. Gracze nadal mogą się logować, przeglądać wymagane informacje i składać odwołanie w zakresie wspieranym przez system, ale ich postacie nie mogą wrócić do normalnego świata gry.</w:t>
            </w:r>
          </w:p>
        </w:tc>
      </w:tr>
    </w:tbl>
    <w:p>
      <w:pPr>
        <w:spacing w:after="40"/>
      </w:pPr>
    </w:p>
    <w:p>
      <w:pPr>
        <w:pStyle w:val="Heading1"/>
        <w:keepLines w:val="0"/>
      </w:pPr>
      <w:r>
        <w:rPr>
          <w:rFonts w:ascii="Noto Sans" w:hAnsi="Noto Sans" w:eastAsia="Arial Unicode MS" w:cs="Noto Sans"/>
          <w:b w:val="0"/>
        </w:rPr>
        <w:t>II. Zakres stosowania i podstawowe zasady</w:t>
      </w:r>
    </w:p>
    <w:p>
      <w:pPr>
        <w:keepLines w:val="0"/>
      </w:pPr>
      <w:r>
        <w:rPr>
          <w:rFonts w:ascii="Noto Sans" w:hAnsi="Noto Sans" w:eastAsia="Arial Unicode MS" w:cs="Noto Sans"/>
          <w:b w:val="0"/>
        </w:rPr>
        <w:t>Niniejsze Zasady mają zastosowanie do oficjalnej strony internetowej DAWNBLOOM, klienta gry, systemu kont, DAWNBLOOM Community, oficjalnych punktów wsparcia oraz innych oficjalnych usług i przestrzeni społecznościowych wewnątrz lub na zewnątrz gry, bezpośrednio zarządzanych przez operatora. Reguły społeczności platform społecznościowych osób trzecich również pozostają w mocy.</w:t>
      </w:r>
    </w:p>
    <w:p>
      <w:pPr>
        <w:keepLines w:val="0"/>
      </w:pPr>
      <w:r>
        <w:rPr>
          <w:rFonts w:ascii="Noto Sans" w:hAnsi="Noto Sans" w:eastAsia="Arial Unicode MS" w:cs="Noto Sans"/>
          <w:b w:val="0"/>
        </w:rPr>
        <w:t>Zasady dotyczące postaci, handlu, walki i kar w grze mają zastosowanie do gry i odpowiedniego zachowania w społeczności. Zwykłe korzystanie z sześciu niezależnych aplikacji podlega warunkom i odpowiednim regułom produktu, a nie karom z gry. Ataki na konta, podszywanie się pod oficjalne aplikacje, złośliwa dystrybucja klientów oraz oszustwa w społeczności nadal podlegają odpowiednim zasadom bezpieczeństwa i społecznościowym.</w:t>
      </w:r>
    </w:p>
    <w:p>
      <w:pPr>
        <w:keepLines w:val="0"/>
      </w:pPr>
      <w:r>
        <w:rPr>
          <w:rFonts w:ascii="Noto Sans" w:hAnsi="Noto Sans" w:eastAsia="Arial Unicode MS" w:cs="Noto Sans"/>
          <w:b w:val="0"/>
        </w:rPr>
        <w:t>Wegłównienie niniejszych zasad będzie zgodne z następującymi zasadami:</w:t>
      </w:r>
    </w:p>
    <w:p>
      <w:pPr>
        <w:pStyle w:val="ListBullet"/>
        <w:keepLines w:val="0"/>
      </w:pPr>
      <w:r>
        <w:rPr>
          <w:rFonts w:ascii="Noto Sans" w:hAnsi="Noto Sans" w:eastAsia="Arial Unicode MS" w:cs="Noto Sans"/>
          <w:b w:val="0"/>
        </w:rPr>
        <w:t>Decyzje będą oparte na dowodach, a żadne naruszenie nie zostanie automatycznie ustalone na podstawie jednego zgłoszenia.</w:t>
      </w:r>
    </w:p>
    <w:p>
      <w:pPr>
        <w:pStyle w:val="ListBullet"/>
        <w:keepLines w:val="0"/>
      </w:pPr>
      <w:r>
        <w:rPr>
          <w:rFonts w:ascii="Noto Sans" w:hAnsi="Noto Sans" w:eastAsia="Arial Unicode MS" w:cs="Noto Sans"/>
          <w:b w:val="0"/>
        </w:rPr>
        <w:t>Kary są określane kompleksowo na podstawie częstotliwości zachowania, czasu trwania, subiektywnego zamiaru, skali zysku, zakresu wpływu, czy było zorganizowane, czy były to powtarzające się wykroczenia, czy dobrowolnie zgłoszono i współpracowano w naprawie.</w:t>
      </w:r>
    </w:p>
    <w:p>
      <w:pPr>
        <w:pStyle w:val="ListBullet"/>
        <w:keepLines w:val="0"/>
      </w:pPr>
      <w:r>
        <w:rPr>
          <w:rFonts w:ascii="Noto Sans" w:hAnsi="Noto Sans" w:eastAsia="Arial Unicode MS" w:cs="Noto Sans"/>
          <w:b w:val="0"/>
        </w:rPr>
        <w:t>Kary mogą być stosowane indywidualnie lub kumulatywnie; identyczne zachowanie nie gwarantuje identycznych kar w każdym przypadku.</w:t>
      </w:r>
    </w:p>
    <w:p>
      <w:pPr>
        <w:pStyle w:val="ListBullet"/>
        <w:keepLines w:val="0"/>
      </w:pPr>
      <w:r>
        <w:rPr>
          <w:rFonts w:ascii="Noto Sans" w:hAnsi="Noto Sans" w:eastAsia="Arial Unicode MS" w:cs="Noto Sans"/>
          <w:b w:val="0"/>
        </w:rPr>
        <w:t>W przypadku okazjonalnych anomalii spowodowanych lukami w systemie lub błędami użytkowników, jeśli gracze nie będą dalej wykorzystywać takich problemów i szybko je zgłoszą, operator może wybrać nie nakładanie kar lub złagodzenie.</w:t>
      </w:r>
    </w:p>
    <w:p>
      <w:pPr>
        <w:pStyle w:val="ListBullet"/>
        <w:keepLines w:val="0"/>
      </w:pPr>
      <w:r>
        <w:rPr>
          <w:rFonts w:ascii="Noto Sans" w:hAnsi="Noto Sans" w:eastAsia="Arial Unicode MS" w:cs="Noto Sans"/>
          <w:b w:val="0"/>
        </w:rPr>
        <w:t>W przypadkach błędnych kar operator po weryfikacji cofnie lub dostosuje karę, a tam, gdzie jest to technicznie możliwe, przywróci dowolną treść, która została błędnie odjęta, zamrożona lub odzyskana.</w:t>
      </w:r>
    </w:p>
    <w:p>
      <w:pPr>
        <w:pStyle w:val="Heading1"/>
        <w:keepLines w:val="0"/>
      </w:pPr>
      <w:r>
        <w:rPr>
          <w:rFonts w:ascii="Noto Sans" w:hAnsi="Noto Sans" w:eastAsia="Arial Unicode MS" w:cs="Noto Sans"/>
          <w:b w:val="0"/>
        </w:rPr>
        <w:t>Trzy. Kluczowe terminy</w:t>
      </w:r>
    </w:p>
    <w:tbl>
      <w:tblPr>
        <w:tblStyle w:val="TableGrid"/>
        <w:tblW w:type="auto" w:w="0"/>
        <w:tblLayout w:type="autofit"/>
        <w:tblLook w:firstColumn="1" w:firstRow="1" w:lastColumn="0" w:lastRow="0" w:noHBand="0" w:noVBand="1" w:val="04A0"/>
      </w:tblPr>
      <w:tblGrid>
        <w:gridCol w:w="4873"/>
        <w:gridCol w:w="4873"/>
      </w:tblGrid>
      <w:tr>
        <w:trPr>
          <w:cantSplit/>
          <w:tblHeader/>
        </w:trPr>
        <w:tc>
          <w:tcPr>
            <w:tcW w:type="dxa" w:w="4873"/>
            <w:vAlign w:val="center"/>
            <w:shd w:fill="DCE8F7"/>
          </w:tcPr>
          <w:p>
            <w:pPr>
              <w:keepNext/>
              <w:spacing w:after="40"/>
            </w:pPr>
            <w:r>
              <w:rPr>
                <w:rFonts w:ascii="Noto Sans" w:hAnsi="Noto Sans" w:eastAsia="Arial Unicode MS" w:cs="Noto Sans"/>
                <w:b/>
                <w:sz w:val="17"/>
              </w:rPr>
              <w:t>Terminologia</w:t>
            </w:r>
          </w:p>
        </w:tc>
        <w:tc>
          <w:tcPr>
            <w:tcW w:type="dxa" w:w="4873"/>
            <w:vAlign w:val="center"/>
            <w:shd w:fill="DCE8F7"/>
          </w:tcPr>
          <w:p>
            <w:pPr>
              <w:keepNext/>
              <w:spacing w:after="40"/>
            </w:pPr>
            <w:r>
              <w:rPr>
                <w:rFonts w:ascii="Noto Sans" w:hAnsi="Noto Sans" w:eastAsia="Arial Unicode MS" w:cs="Noto Sans"/>
                <w:b/>
                <w:sz w:val="17"/>
              </w:rPr>
              <w:t>Wyjaśnienie</w:t>
            </w:r>
          </w:p>
        </w:tc>
      </w:tr>
      <w:tr>
        <w:trPr>
          <w:cantSplit/>
        </w:trPr>
        <w:tc>
          <w:tcPr>
            <w:tcW w:type="dxa" w:w="4873"/>
            <w:vAlign w:val="center"/>
          </w:tcPr>
          <w:p>
            <w:pPr>
              <w:spacing w:after="40"/>
            </w:pPr>
            <w:r>
              <w:rPr>
                <w:rFonts w:ascii="Noto Sans" w:hAnsi="Noto Sans" w:eastAsia="Arial Unicode MS" w:cs="Noto Sans"/>
                <w:sz w:val="17"/>
              </w:rPr>
              <w:t>Tymczasowa Izolacja (Więzienie)</w:t>
            </w:r>
          </w:p>
        </w:tc>
        <w:tc>
          <w:tcPr>
            <w:tcW w:type="dxa" w:w="4873"/>
            <w:vAlign w:val="center"/>
          </w:tcPr>
          <w:p>
            <w:pPr>
              <w:spacing w:after="40"/>
            </w:pPr>
            <w:r>
              <w:rPr>
                <w:rFonts w:ascii="Noto Sans" w:hAnsi="Noto Sans" w:eastAsia="Arial Unicode MS" w:cs="Noto Sans"/>
                <w:sz w:val="17"/>
              </w:rPr>
              <w:t>Postać łamiąca zasady może zostać przeniesiona do odosobnionego obszaru na określony czas. W tym okresie wyjście z więzienia, walka, tworzenie drużyn, działania klanowe, handel, prezenty, stoiska, przelewy pocztowe i inne normalne rozgrywki mogą być ograniczone. Konkretne ograniczenia i czas trwania wynikają z noty o karze.</w:t>
            </w:r>
          </w:p>
        </w:tc>
      </w:tr>
      <w:tr>
        <w:trPr>
          <w:cantSplit/>
        </w:trPr>
        <w:tc>
          <w:tcPr>
            <w:tcW w:type="dxa" w:w="4873"/>
            <w:vAlign w:val="center"/>
          </w:tcPr>
          <w:p>
            <w:pPr>
              <w:spacing w:after="40"/>
            </w:pPr>
            <w:r>
              <w:rPr>
                <w:rFonts w:ascii="Noto Sans" w:hAnsi="Noto Sans" w:eastAsia="Arial Unicode MS" w:cs="Noto Sans"/>
                <w:sz w:val="17"/>
              </w:rPr>
              <w:t>Trwała Izolacja (Więzienie)</w:t>
            </w:r>
          </w:p>
        </w:tc>
        <w:tc>
          <w:tcPr>
            <w:tcW w:type="dxa" w:w="4873"/>
            <w:vAlign w:val="center"/>
          </w:tcPr>
          <w:p>
            <w:pPr>
              <w:spacing w:after="40"/>
            </w:pPr>
            <w:r>
              <w:rPr>
                <w:rFonts w:ascii="Noto Sans" w:hAnsi="Noto Sans" w:eastAsia="Arial Unicode MS" w:cs="Noto Sans"/>
                <w:sz w:val="17"/>
              </w:rPr>
              <w:t>Najwyższa kara w grze zgodnie z tymi zasadami. Postać pozostaje w odosobnionym środowisku przez długi okres lub na stałe i nie może wrócić do normalnego świata gry ani uczestniczyć w głównych funkcjach ekonomicznych, społecznych czy walki. Niezbędny dostęp do logowania, przeglądania powiadomień, kontaktu z pomocą techniczną i składania odwołań jest zachowany, w zależności od rzeczywistej implementacji systemu.</w:t>
            </w:r>
          </w:p>
        </w:tc>
      </w:tr>
      <w:tr>
        <w:trPr>
          <w:cantSplit/>
        </w:trPr>
        <w:tc>
          <w:tcPr>
            <w:tcW w:type="dxa" w:w="4873"/>
            <w:vAlign w:val="center"/>
          </w:tcPr>
          <w:p>
            <w:pPr>
              <w:spacing w:after="40"/>
            </w:pPr>
            <w:r>
              <w:rPr>
                <w:rFonts w:ascii="Noto Sans" w:hAnsi="Noto Sans" w:eastAsia="Arial Unicode MS" w:cs="Noto Sans"/>
                <w:sz w:val="17"/>
              </w:rPr>
              <w:t>Zamrożenie przedmiotów wirtualnych w grze</w:t>
            </w:r>
          </w:p>
        </w:tc>
        <w:tc>
          <w:tcPr>
            <w:tcW w:type="dxa" w:w="4873"/>
            <w:vAlign w:val="center"/>
          </w:tcPr>
          <w:p>
            <w:pPr>
              <w:spacing w:after="40"/>
            </w:pPr>
            <w:r>
              <w:rPr>
                <w:rFonts w:ascii="Noto Sans" w:hAnsi="Noto Sans" w:eastAsia="Arial Unicode MS" w:cs="Noto Sans"/>
                <w:sz w:val="17"/>
              </w:rPr>
              <w:t>Tymczasowo ograniczyć używanie, wyposażanie, konsumpcję, handel, darowiznę, konsygnację lub transfer określonych wirtualnych przedmiotów lub aktywów w grze w celu zbadania lub utrzymania porządku ekonomicznego.</w:t>
            </w:r>
          </w:p>
        </w:tc>
      </w:tr>
      <w:tr>
        <w:trPr>
          <w:cantSplit/>
        </w:trPr>
        <w:tc>
          <w:tcPr>
            <w:tcW w:type="dxa" w:w="4873"/>
            <w:vAlign w:val="center"/>
          </w:tcPr>
          <w:p>
            <w:pPr>
              <w:spacing w:after="40"/>
            </w:pPr>
            <w:r>
              <w:rPr>
                <w:rFonts w:ascii="Noto Sans" w:hAnsi="Noto Sans" w:eastAsia="Arial Unicode MS" w:cs="Noto Sans"/>
                <w:sz w:val="17"/>
              </w:rPr>
              <w:t>Pobierz wirtualne przedmioty z gry</w:t>
            </w:r>
          </w:p>
        </w:tc>
        <w:tc>
          <w:tcPr>
            <w:tcW w:type="dxa" w:w="4873"/>
            <w:vAlign w:val="center"/>
          </w:tcPr>
          <w:p>
            <w:pPr>
              <w:spacing w:after="40"/>
            </w:pPr>
            <w:r>
              <w:rPr>
                <w:rFonts w:ascii="Noto Sans" w:hAnsi="Noto Sans" w:eastAsia="Arial Unicode MS" w:cs="Noto Sans"/>
                <w:sz w:val="17"/>
              </w:rPr>
              <w:t>Usuń przedmioty lub aktywa wirtualne uzyskane bezpośrednio lub pośrednio poprzez oszustwo, wykorzystanie błędów, kopiowanie, oprogramowanie do oszukiwania, nietypowe transakcje lub inne naruszenia z konta, postaci, magazynu, poczty, łańcuchów transakcji lub innych śledzonych źródeł.</w:t>
            </w:r>
          </w:p>
        </w:tc>
      </w:tr>
      <w:tr>
        <w:trPr>
          <w:cantSplit/>
        </w:trPr>
        <w:tc>
          <w:tcPr>
            <w:tcW w:type="dxa" w:w="4873"/>
            <w:vAlign w:val="center"/>
          </w:tcPr>
          <w:p>
            <w:pPr>
              <w:spacing w:after="40"/>
            </w:pPr>
            <w:r>
              <w:rPr>
                <w:rFonts w:ascii="Noto Sans" w:hAnsi="Noto Sans" w:eastAsia="Arial Unicode MS" w:cs="Noto Sans"/>
                <w:sz w:val="17"/>
              </w:rPr>
              <w:t>Odliczenie wartości ujemnej</w:t>
            </w:r>
          </w:p>
        </w:tc>
        <w:tc>
          <w:tcPr>
            <w:tcW w:type="dxa" w:w="4873"/>
            <w:vAlign w:val="center"/>
          </w:tcPr>
          <w:p>
            <w:pPr>
              <w:spacing w:after="40"/>
            </w:pPr>
            <w:r>
              <w:rPr>
                <w:rFonts w:ascii="Noto Sans" w:hAnsi="Noto Sans" w:eastAsia="Arial Unicode MS" w:cs="Noto Sans"/>
                <w:sz w:val="17"/>
              </w:rPr>
              <w:t>Cofnij, odlicz lub skoryguj doświadczenie, złote monety, magiczne monety, reputację, punkty, atrybuty, postęp kultywacji, liczniki użytkowania aktywności, korzyści rankingowe lub inne zyski w grze uzyskane bezpośrednio lub pośrednio poprzez naruszenia, aby przywrócić stan, jakby naruszenie nie miało miejsca.</w:t>
            </w:r>
          </w:p>
        </w:tc>
      </w:tr>
      <w:tr>
        <w:trPr>
          <w:cantSplit/>
        </w:trPr>
        <w:tc>
          <w:tcPr>
            <w:tcW w:type="dxa" w:w="4873"/>
            <w:vAlign w:val="center"/>
          </w:tcPr>
          <w:p>
            <w:pPr>
              <w:spacing w:after="40"/>
            </w:pPr>
            <w:r>
              <w:rPr>
                <w:rFonts w:ascii="Noto Sans" w:hAnsi="Noto Sans" w:eastAsia="Arial Unicode MS" w:cs="Noto Sans"/>
                <w:sz w:val="17"/>
              </w:rPr>
              <w:t>Ograniczenia transakcyjne</w:t>
            </w:r>
          </w:p>
        </w:tc>
        <w:tc>
          <w:tcPr>
            <w:tcW w:type="dxa" w:w="4873"/>
            <w:vAlign w:val="center"/>
          </w:tcPr>
          <w:p>
            <w:pPr>
              <w:spacing w:after="40"/>
            </w:pPr>
            <w:r>
              <w:rPr>
                <w:rFonts w:ascii="Noto Sans" w:hAnsi="Noto Sans" w:eastAsia="Arial Unicode MS" w:cs="Noto Sans"/>
                <w:sz w:val="17"/>
              </w:rPr>
              <w:t>Ogranicz jedną lub więcej z następujących funkcji: bezpośredni handel, darowizny, wystawianie na rynku lub w sklepie, dołączanie aktywów za pomocą poczty, konsygnacja lub transfer udziałów w aktywach rodzinnych lub innych cech związanych z obiegiem.</w:t>
            </w:r>
          </w:p>
        </w:tc>
      </w:tr>
      <w:tr>
        <w:trPr>
          <w:cantSplit/>
        </w:trPr>
        <w:tc>
          <w:tcPr>
            <w:tcW w:type="dxa" w:w="4873"/>
            <w:vAlign w:val="center"/>
          </w:tcPr>
          <w:p>
            <w:pPr>
              <w:spacing w:after="40"/>
            </w:pPr>
            <w:r>
              <w:rPr>
                <w:rFonts w:ascii="Noto Sans" w:hAnsi="Noto Sans" w:eastAsia="Arial Unicode MS" w:cs="Noto Sans"/>
                <w:sz w:val="17"/>
              </w:rPr>
              <w:t>Usunięcie archiwum</w:t>
            </w:r>
          </w:p>
        </w:tc>
        <w:tc>
          <w:tcPr>
            <w:tcW w:type="dxa" w:w="4873"/>
            <w:vAlign w:val="center"/>
          </w:tcPr>
          <w:p>
            <w:pPr>
              <w:spacing w:after="40"/>
            </w:pPr>
            <w:r>
              <w:rPr>
                <w:rFonts w:ascii="Noto Sans" w:hAnsi="Noto Sans" w:eastAsia="Arial Unicode MS" w:cs="Noto Sans"/>
                <w:sz w:val="17"/>
              </w:rPr>
              <w:t>Odnosi się do usunięcia lub ukrycia profili osobistych, profili tematycznych, materiałów publicznych lub zapisów społecznościowych związanych z naruszeniami na oficjalnej stronie internetowej, forum lub oficjalnej społeczności — nie jest to równoznaczne z usunięciem danych konta gry lub postaci.</w:t>
            </w:r>
          </w:p>
        </w:tc>
      </w:tr>
    </w:tbl>
    <w:p>
      <w:pPr>
        <w:spacing w:after="40"/>
      </w:pPr>
    </w:p>
    <w:p>
      <w:pPr>
        <w:pStyle w:val="Heading1"/>
        <w:keepLines w:val="0"/>
      </w:pPr>
      <w:r>
        <w:rPr>
          <w:rFonts w:ascii="Noto Sans" w:hAnsi="Noto Sans" w:eastAsia="Arial Unicode MS" w:cs="Noto Sans"/>
          <w:b w:val="0"/>
        </w:rPr>
        <w:t>Cztery. Wytyczne dotyczące zachowania gracza</w:t>
      </w:r>
    </w:p>
    <w:p>
      <w:pPr>
        <w:pStyle w:val="Heading1"/>
        <w:keepLines w:val="0"/>
      </w:pPr>
      <w:r>
        <w:rPr>
          <w:rFonts w:ascii="Noto Sans" w:hAnsi="Noto Sans" w:eastAsia="Arial Unicode MS" w:cs="Noto Sans"/>
          <w:b w:val="0"/>
        </w:rPr>
        <w:t>4.1 Konto, tożsamość i bezpieczeństwo</w:t>
      </w:r>
    </w:p>
    <w:p>
      <w:pPr>
        <w:pStyle w:val="Heading1"/>
        <w:keepLines w:val="0"/>
      </w:pPr>
      <w:r>
        <w:rPr>
          <w:rFonts w:ascii="Noto Sans" w:hAnsi="Noto Sans" w:eastAsia="Arial Unicode MS" w:cs="Noto Sans"/>
          <w:b w:val="0"/>
        </w:rPr>
        <w:t>DAWNBLOOM świadczy usługi rejestracji kont i gier wyłącznie użytkownikom w wieku 18 lat lub starszym. Osoba poniżej 18 roku życia nie może zarejestrować ani korzystać z konta, wykorzystywać kwalifikacji wiekowej innej osoby, podawać fałszywego przedziału wiekowego ani omijać bariery wiekowej.</w:t>
      </w:r>
    </w:p>
    <w:p>
      <w:pPr>
        <w:pStyle w:val="ListBullet"/>
        <w:keepLines w:val="0"/>
      </w:pPr>
      <w:r>
        <w:rPr>
          <w:rFonts w:ascii="Noto Sans" w:hAnsi="Noto Sans" w:eastAsia="Arial Unicode MS" w:cs="Noto Sans"/>
          <w:b w:val="0"/>
        </w:rPr>
        <w:t>Gracze nie mogą kraść, wyłudzać lub nielegalnie kontrolować kont innych graczy, kodów weryfikacyjnych, danych logowania, informacji weryfikacji bezpieczeństwa lub w inny sposób uzyskać nieautoryzowany dostęp do konta innego gracza.</w:t>
      </w:r>
    </w:p>
    <w:p>
      <w:pPr>
        <w:pStyle w:val="ListBullet"/>
        <w:keepLines w:val="0"/>
      </w:pPr>
      <w:r>
        <w:rPr>
          <w:rFonts w:ascii="Noto Sans" w:hAnsi="Noto Sans" w:eastAsia="Arial Unicode MS" w:cs="Noto Sans"/>
          <w:b w:val="0"/>
        </w:rPr>
        <w:t>Gracze nie mogą podszywać się pod oficjalny personel, obsługę klienta, GM-ów, deweloperów, partnerów lub innych graczy w celu uzyskania informacji o koncie, przedmiotów wirtualnych, aktywów rzeczywistych lub innych korzyści.</w:t>
      </w:r>
    </w:p>
    <w:p>
      <w:pPr>
        <w:pStyle w:val="ListBullet"/>
        <w:keepLines w:val="0"/>
      </w:pPr>
      <w:r>
        <w:rPr>
          <w:rFonts w:ascii="Noto Sans" w:hAnsi="Noto Sans" w:eastAsia="Arial Unicode MS" w:cs="Noto Sans"/>
          <w:b w:val="0"/>
        </w:rPr>
        <w:t>Gracze są odpowiedzialni za bezpieczne zarządzanie swoimi kontami. Wszelkie ryzyka wynikające ze współdzielenia, wypożyczania, sprzedaży lub wynajmowania konta ponosi wyłącznie odpowiedni użytkownik. Jeśli konto zostanie wykorzystane do uniknięcia kar, przenoszenia nienormalnych aktywów lub zaangażowania w inne naruszenia, konto może podlegać jednoczesnemu działaniu.</w:t>
      </w:r>
    </w:p>
    <w:p>
      <w:pPr>
        <w:pStyle w:val="ListBullet"/>
        <w:keepLines w:val="0"/>
      </w:pPr>
      <w:r>
        <w:rPr>
          <w:rFonts w:ascii="Noto Sans" w:hAnsi="Noto Sans" w:eastAsia="Arial Unicode MS" w:cs="Noto Sans"/>
          <w:b w:val="0"/>
        </w:rPr>
        <w:t>Gracze nie mogą używać wielu kont w celu obejścia takich ograniczeń jak tymczasowe banowanie, izolacja, limity transakcji, ograniczenia wydarzeniowe lub inne kary.</w:t>
      </w:r>
    </w:p>
    <w:p>
      <w:pPr>
        <w:pStyle w:val="Heading1"/>
        <w:keepLines w:val="0"/>
      </w:pPr>
      <w:r>
        <w:rPr>
          <w:rFonts w:ascii="Noto Sans" w:hAnsi="Noto Sans" w:eastAsia="Arial Unicode MS" w:cs="Noto Sans"/>
          <w:b w:val="0"/>
        </w:rPr>
        <w:t>4.2 Sprawiedliwa gra i oprogramowanie osób trzecich</w:t>
      </w:r>
    </w:p>
    <w:p>
      <w:pPr>
        <w:pStyle w:val="ListBullet"/>
        <w:keepLines w:val="0"/>
      </w:pPr>
      <w:r>
        <w:rPr>
          <w:rFonts w:ascii="Noto Sans" w:hAnsi="Noto Sans" w:eastAsia="Arial Unicode MS" w:cs="Noto Sans"/>
          <w:b w:val="0"/>
        </w:rPr>
        <w:t>Zabronione jest używanie, tworzenie lub rozpowszechnianie jakichkolwiek zewnętrznych narzędzi do oszukiwania, oprogramowania do hakowania, automatycznych skryptów, złośliwych makr, akceleratorów, modyfikacji pamięci, manipulacji pakietami, symulacji protokołów, niezautozowanych narzędzi operacyjnych lub zmodyfikowanych wersji klienta, które mogą zapewniać niesprawiedliwe przewagi.</w:t>
      </w:r>
    </w:p>
    <w:p>
      <w:pPr>
        <w:pStyle w:val="ListBullet"/>
        <w:keepLines w:val="0"/>
      </w:pPr>
      <w:r>
        <w:rPr>
          <w:rFonts w:ascii="Noto Sans" w:hAnsi="Noto Sans" w:eastAsia="Arial Unicode MS" w:cs="Noto Sans"/>
          <w:b w:val="0"/>
        </w:rPr>
        <w:t>Zwykłe funkcje dostępności systemu lub narzędzia wspomagające bez przewag konkurencyjnych nie stanowią domyślnie naruszeń; czy takie narzędzia stanowią naruszenie, należy określić głównie na podstawie tego, czy omijają normalne działanie gry, automatycznie wykonują akcje w grze, podważają uczciwość, czy też omijają ograniczenia techniczne.</w:t>
      </w:r>
    </w:p>
    <w:p>
      <w:pPr>
        <w:pStyle w:val="ListBullet"/>
        <w:keepLines w:val="0"/>
      </w:pPr>
      <w:r>
        <w:rPr>
          <w:rFonts w:ascii="Noto Sans" w:hAnsi="Noto Sans" w:eastAsia="Arial Unicode MS" w:cs="Noto Sans"/>
          <w:b w:val="0"/>
        </w:rPr>
        <w:t>Zabronione jest dostarczanie, sprzedawanie lub promowanie oprogramowania oszukańczego, złośliwego oprogramowania, złośliwych wtyczek, narzędzi kradzieży kont lub powiązanych linków do pobrania innym graczom.</w:t>
      </w:r>
    </w:p>
    <w:p>
      <w:pPr>
        <w:pStyle w:val="Heading1"/>
        <w:keepLines w:val="0"/>
      </w:pPr>
      <w:r>
        <w:rPr>
          <w:rFonts w:ascii="Noto Sans" w:hAnsi="Noto Sans" w:eastAsia="Arial Unicode MS" w:cs="Noto Sans"/>
          <w:b w:val="0"/>
        </w:rPr>
        <w:t>4.3 Błędy, luki, zduplikowane przedmioty i nienormalne zyski</w:t>
      </w:r>
    </w:p>
    <w:p>
      <w:pPr>
        <w:pStyle w:val="ListBullet"/>
        <w:keepLines w:val="0"/>
      </w:pPr>
      <w:r>
        <w:rPr>
          <w:rFonts w:ascii="Noto Sans" w:hAnsi="Noto Sans" w:eastAsia="Arial Unicode MS" w:cs="Noto Sans"/>
          <w:b w:val="0"/>
        </w:rPr>
        <w:t>W przypadku napotkania problemów takich jak błędy gry, anomalie numeryczne, zduplikowane nagrody, kopiowanie przedmiotów, nietypowe wskaźniki dropu, nieoczekiwany wzrost waluty, omijanie zużycia lub błędne transakcje, gracze powinni natychmiast zaprzestać dalszego rozpowszechniania problemu i zgłosić go za pośrednictwem oficjalnych kanałów.</w:t>
      </w:r>
    </w:p>
    <w:p>
      <w:pPr>
        <w:pStyle w:val="ListBullet"/>
        <w:keepLines w:val="0"/>
      </w:pPr>
      <w:r>
        <w:rPr>
          <w:rFonts w:ascii="Noto Sans" w:hAnsi="Noto Sans" w:eastAsia="Arial Unicode MS" w:cs="Noto Sans"/>
          <w:b w:val="0"/>
        </w:rPr>
        <w:t>Zabronione jest świadome wykorzystywanie luk, wielokrotne replikowanie przedmiotów, organizowanie innych osób do ich wykorzystywania, rozpowszechnianie konkretnych metod exploitów, ukrywanie nienormalnych zysków lub dystrybucja nienormalnych aktywów między wiele kont.</w:t>
      </w:r>
    </w:p>
    <w:p>
      <w:pPr>
        <w:pStyle w:val="ListBullet"/>
        <w:keepLines w:val="0"/>
      </w:pPr>
      <w:r>
        <w:rPr>
          <w:rFonts w:ascii="Noto Sans" w:hAnsi="Noto Sans" w:eastAsia="Arial Unicode MS" w:cs="Noto Sans"/>
          <w:b w:val="0"/>
        </w:rPr>
        <w:t>W przypadku wirtualnych przedmiotów, waluty, atrybutów lub nagrodów wynikających wyraźnie z błędów systemu, operator ma prawo zamrozić, odzyskać, cofnąć lub anulować powiązane transakcje oraz skorygować wartości w odpowiedni sposób.</w:t>
      </w:r>
    </w:p>
    <w:p>
      <w:pPr>
        <w:pStyle w:val="ListBullet"/>
        <w:keepLines w:val="0"/>
      </w:pPr>
      <w:r>
        <w:rPr>
          <w:rFonts w:ascii="Noto Sans" w:hAnsi="Noto Sans" w:eastAsia="Arial Unicode MS" w:cs="Noto Sans"/>
          <w:b w:val="0"/>
        </w:rPr>
        <w:t>Gracze, którzy nie mieli subiektywnego zamiaru łamać zasady, których incydenty były izolowane i przypadkowe, którzy niezwłocznie zgłosili problem i współpracowali z oficjalnymi śledztwami, mogą być zwolnieni z kar w zależności od przypadku.</w:t>
      </w:r>
    </w:p>
    <w:p>
      <w:pPr>
        <w:pStyle w:val="Heading1"/>
        <w:keepLines w:val="0"/>
      </w:pPr>
      <w:r>
        <w:rPr>
          <w:rFonts w:ascii="Noto Sans" w:hAnsi="Noto Sans" w:eastAsia="Arial Unicode MS" w:cs="Noto Sans"/>
          <w:b w:val="0"/>
        </w:rPr>
        <w:t>4.4 Transakcje, prezenty i ekonomia w grze</w:t>
      </w:r>
    </w:p>
    <w:p>
      <w:pPr>
        <w:pStyle w:val="ListBullet"/>
        <w:keepLines w:val="0"/>
      </w:pPr>
      <w:r>
        <w:rPr>
          <w:rFonts w:ascii="Noto Sans" w:hAnsi="Noto Sans" w:eastAsia="Arial Unicode MS" w:cs="Noto Sans"/>
          <w:b w:val="0"/>
        </w:rPr>
        <w:t>DAWNBLOOM pozwala na bezpośrednią wymianę, prezenty i transfer przedmiotów lub monet w grze poprzez sklep, pocztę lub inne oficjalne kanały jako część wewnętrznych zasad gry.</w:t>
      </w:r>
    </w:p>
    <w:p>
      <w:pPr>
        <w:pStyle w:val="ListBullet"/>
        <w:keepLines w:val="0"/>
      </w:pPr>
      <w:r>
        <w:rPr>
          <w:rFonts w:ascii="Noto Sans" w:hAnsi="Noto Sans" w:eastAsia="Arial Unicode MS" w:cs="Noto Sans"/>
          <w:b w:val="0"/>
        </w:rPr>
        <w:t>Zabronione jest uzyskiwanie lub przekazywanie aktywów wirtualnych za pomocą oszustwa, kradzieży konta, oprogramowania oszukańczego, exploitów, kopiowania, oszustwa płatniczego lub złośliwych żądań zwrotu.</w:t>
      </w:r>
    </w:p>
    <w:p>
      <w:pPr>
        <w:pStyle w:val="ListBullet"/>
        <w:keepLines w:val="0"/>
      </w:pPr>
      <w:r>
        <w:rPr>
          <w:rFonts w:ascii="Noto Sans" w:hAnsi="Noto Sans" w:eastAsia="Arial Unicode MS" w:cs="Noto Sans"/>
          <w:b w:val="0"/>
        </w:rPr>
        <w:t>Zabronione jest używanie taktyk takich jak dzielenie zamówień, przesyłanie kont, cykliczne łączenie kont lub fałszywe transakcje w celu ukrycia źródła naruszeń, unikania śledzenia lub manipulowania gospodarką w grze.</w:t>
      </w:r>
    </w:p>
    <w:p>
      <w:pPr>
        <w:pStyle w:val="ListBullet"/>
        <w:keepLines w:val="0"/>
      </w:pPr>
      <w:r>
        <w:rPr>
          <w:rFonts w:ascii="Noto Sans" w:hAnsi="Noto Sans" w:eastAsia="Arial Unicode MS" w:cs="Noto Sans"/>
          <w:b w:val="0"/>
        </w:rPr>
        <w:t>Nieoficjalne transakcje w gotówce, handel kontami lub prywatne transakcje gwarancyjne nie są chronione przez oficjalną platformę; jeśli takie działania obejmują również oszustwo, nielegalne operacje, pranie pieniędzy, narzędzia oszukańcze lub zakłócenie porządku ekonomicznego, operator zastrzega sobie prawo do nakładania kar.</w:t>
      </w:r>
    </w:p>
    <w:p>
      <w:pPr>
        <w:pStyle w:val="ListBullet"/>
        <w:keepLines w:val="0"/>
      </w:pPr>
      <w:r>
        <w:rPr>
          <w:rFonts w:ascii="Noto Sans" w:hAnsi="Noto Sans" w:eastAsia="Arial Unicode MS" w:cs="Noto Sans"/>
          <w:b w:val="0"/>
        </w:rPr>
        <w:t>W przypadku aktywów uzyskanych w drodze kradzieży, oszustwa, błędów lub innych nieuprawnionych środków, nawet jeśli zostały one przeniesione na konto osoby trzeciej, operator zastrzega sobie prawo do zamrożenia lub odzyskania takich aktywów w oparciu o łańcuchy dowodowe; w trakcie rozpatrywania takich spraw operator będzie brać pod uwagę czynniki takie jak to, czy osoba trzecia była świadoma transakcji, czy transakcja wykazuje oczywiste anomalie oraz ogólny wpływ ekonomiczny.</w:t>
      </w:r>
    </w:p>
    <w:p>
      <w:pPr>
        <w:pStyle w:val="Heading1"/>
        <w:keepLines w:val="0"/>
      </w:pPr>
      <w:r>
        <w:rPr>
          <w:rFonts w:ascii="Noto Sans" w:hAnsi="Noto Sans" w:eastAsia="Arial Unicode MS" w:cs="Noto Sans"/>
          <w:b w:val="0"/>
        </w:rPr>
        <w:t>4.5 Oszustwo, podszywanie się i fałszywe informacje</w:t>
      </w:r>
    </w:p>
    <w:p>
      <w:pPr>
        <w:pStyle w:val="ListBullet"/>
        <w:keepLines w:val="0"/>
      </w:pPr>
      <w:r>
        <w:rPr>
          <w:rFonts w:ascii="Noto Sans" w:hAnsi="Noto Sans" w:eastAsia="Arial Unicode MS" w:cs="Noto Sans"/>
          <w:b w:val="0"/>
        </w:rPr>
        <w:t>Żadna osoba nie może oszukiwać, wprowadzać w błąd lub oszuściować inną osobę poprzez składanie fałszywych oświadczeń, fabricowanie faktów, ukrywanie istotnych faktów, celowe mylenie pseudonimów, podszywanie się pod przyjaciela, podszywanie się pod oficjalną osobę, fałszowanie zrzutów ekranu lub rekordów zamówień, lub w inny sposób uzyskiwanie przedmiotów wirtualnych, informacji o koncie lub majątku rzeczywistego świata.</w:t>
      </w:r>
    </w:p>
    <w:p>
      <w:pPr>
        <w:keepLines w:val="0"/>
      </w:pPr>
      <w:r>
        <w:rPr>
          <w:rFonts w:ascii="Noto Sans" w:hAnsi="Noto Sans" w:eastAsia="Arial Unicode MS" w:cs="Noto Sans"/>
          <w:b w:val="0"/>
        </w:rPr>
        <w:t>Nie podszywaj się pod Token, Przewodnika Dawnbloom ani żadne pobieranie lub aktualizację aplikacji, aby uzyskać dostęp do konta innej osoby, kodu weryfikacyjnego, danych logowania do poczty lub płatności.</w:t>
      </w:r>
    </w:p>
    <w:p>
      <w:pPr>
        <w:pStyle w:val="ListBullet"/>
        <w:keepLines w:val="0"/>
      </w:pPr>
      <w:r>
        <w:rPr>
          <w:rFonts w:ascii="Noto Sans" w:hAnsi="Noto Sans" w:eastAsia="Arial Unicode MS" w:cs="Noto Sans"/>
          <w:b w:val="0"/>
        </w:rPr>
        <w:t>Zabronione jest rozpowszechnianie fałszywych oficjalnych ogłoszeń, wydarzeń, ofert rekompensaty, wygranych nagród, promocji i rabatów, alertów bezpieczeństwa konta lub szczegółów kontaktu z obsługą klienta.</w:t>
      </w:r>
    </w:p>
    <w:p>
      <w:pPr>
        <w:pStyle w:val="ListBullet"/>
        <w:keepLines w:val="0"/>
      </w:pPr>
      <w:r>
        <w:rPr>
          <w:rFonts w:ascii="Noto Sans" w:hAnsi="Noto Sans" w:eastAsia="Arial Unicode MS" w:cs="Noto Sans"/>
          <w:b w:val="0"/>
        </w:rPr>
        <w:t>Zabronione jest używanie terminów takich jak "odzyskiwanie konta w imieniu", "doładowanie w imieniu", "kanały wewnętrzne" lub "relacja z GM", aby skłonić graczy do dostarczania haseł, kodów weryfikacyjnych lub płatności do nieoficjalnych kanałów.</w:t>
      </w:r>
    </w:p>
    <w:p>
      <w:pPr>
        <w:pStyle w:val="Heading1"/>
        <w:keepLines w:val="0"/>
      </w:pPr>
      <w:r>
        <w:rPr>
          <w:rFonts w:ascii="Noto Sans" w:hAnsi="Noto Sans" w:eastAsia="Arial Unicode MS" w:cs="Noto Sans"/>
          <w:b w:val="0"/>
        </w:rPr>
        <w:t>4.6 Czat, nękanie i bezpieczeństwo w świecie rzeczywistym</w:t>
      </w:r>
    </w:p>
    <w:p>
      <w:pPr>
        <w:pStyle w:val="ListBullet"/>
        <w:keepLines w:val="0"/>
      </w:pPr>
      <w:r>
        <w:rPr>
          <w:rFonts w:ascii="Noto Sans" w:hAnsi="Noto Sans" w:eastAsia="Arial Unicode MS" w:cs="Noto Sans"/>
          <w:b w:val="0"/>
        </w:rPr>
        <w:t>Dozwolone są rozsądne debaty, emocje konkurencyjne i wyrażanie różnych punktów widzenia, ale zabronione jest ciągłe nękanie, stalkowanie, złośliwe spamowanie, długotrwałe obrażanie osobiste, ataki dyskryminacyjne, molestowanie seksualne, osobiste zagrożenia lub podburzanie do szkód w świecie rzeczywistym.</w:t>
      </w:r>
    </w:p>
    <w:p>
      <w:pPr>
        <w:pStyle w:val="ListBullet"/>
        <w:keepLines w:val="0"/>
      </w:pPr>
      <w:r>
        <w:rPr>
          <w:rFonts w:ascii="Noto Sans" w:hAnsi="Noto Sans" w:eastAsia="Arial Unicode MS" w:cs="Noto Sans"/>
          <w:b w:val="0"/>
        </w:rPr>
        <w:t>Zabronione jest publiczne ujawnianie prawdziwego imienia i nazwiska, adresu, numeru telefonu, dokumentów tożsamości, miejsca pracy, informacji rodzinnych, prywatnych obrazów lub jakiejkolwiek innej informacji o tożsamości osoby bez jej zgody.</w:t>
      </w:r>
    </w:p>
    <w:p>
      <w:pPr>
        <w:pStyle w:val="ListBullet"/>
        <w:keepLines w:val="0"/>
      </w:pPr>
      <w:r>
        <w:rPr>
          <w:rFonts w:ascii="Noto Sans" w:hAnsi="Noto Sans" w:eastAsia="Arial Unicode MS" w:cs="Noto Sans"/>
          <w:b w:val="0"/>
        </w:rPr>
        <w:t>Zabronione jest grożenie innym graczom, personelowi lub osobom trzecim przemocą, porwaniem, szkodą lub wymuszeniem w świecie rzeczywistym.</w:t>
      </w:r>
    </w:p>
    <w:p>
      <w:pPr>
        <w:pStyle w:val="ListBullet"/>
        <w:keepLines w:val="0"/>
      </w:pPr>
      <w:r>
        <w:rPr>
          <w:rFonts w:ascii="Noto Sans" w:hAnsi="Noto Sans" w:eastAsia="Arial Unicode MS" w:cs="Noto Sans"/>
          <w:b w:val="0"/>
        </w:rPr>
        <w:t>Operator nie będzie nakładać kar wyłącznie na podstawie stanowiska, krytyki lub wyrazu politycznego, pod warunkiem że taka treść jest zgodna z prawem i nieobraźliwa; jednakże, jeśli treść stanowi informacje zabronione przez obowiązujące prawa, mowę nienawiści, groźby przemocy, nękanie, naruszenie prywatności lub nielegalne działania organizacyjne, zostanie potraktowana zgodnie z prawem i tymi zasadami.</w:t>
      </w:r>
    </w:p>
    <w:p>
      <w:pPr>
        <w:pStyle w:val="Heading1"/>
        <w:keepLines w:val="0"/>
      </w:pPr>
      <w:r>
        <w:rPr>
          <w:rFonts w:ascii="Noto Sans" w:hAnsi="Noto Sans" w:eastAsia="Arial Unicode MS" w:cs="Noto Sans"/>
          <w:b w:val="0"/>
        </w:rPr>
        <w:t>4.7 Spam, reklamy i złośliwe linki</w:t>
      </w:r>
    </w:p>
    <w:p>
      <w:pPr>
        <w:pStyle w:val="ListBullet"/>
        <w:keepLines w:val="0"/>
      </w:pPr>
      <w:r>
        <w:rPr>
          <w:rFonts w:ascii="Noto Sans" w:hAnsi="Noto Sans" w:eastAsia="Arial Unicode MS" w:cs="Noto Sans"/>
          <w:b w:val="0"/>
        </w:rPr>
        <w:t>Zabronione jest wysyłanie nadmiernych, podobnych lub bezsensownych treści wielokrotnie lub ciągłe spamowanie normalnych kanałów komunikacji, takich jak czat światowy, prywatne wiadomości, klany lub fora.</w:t>
      </w:r>
    </w:p>
    <w:p>
      <w:pPr>
        <w:pStyle w:val="ListBullet"/>
        <w:keepLines w:val="0"/>
      </w:pPr>
      <w:r>
        <w:rPr>
          <w:rFonts w:ascii="Noto Sans" w:hAnsi="Noto Sans" w:eastAsia="Arial Unicode MS" w:cs="Noto Sans"/>
          <w:b w:val="0"/>
        </w:rPr>
        <w:t>Nie jest dozwolone promowanie narzędzi do oszustw, kradzieży kont, hazardu, oszustw, złośliwego oprogramowania, nielegalnych transakcji, nieautoryzowanych stron internetowych ani innych usług, które wyraźnie zagrażają bezpieczeństwu graczy.</w:t>
      </w:r>
    </w:p>
    <w:p>
      <w:pPr>
        <w:pStyle w:val="ListBullet"/>
        <w:keepLines w:val="0"/>
      </w:pPr>
      <w:r>
        <w:rPr>
          <w:rFonts w:ascii="Noto Sans" w:hAnsi="Noto Sans" w:eastAsia="Arial Unicode MS" w:cs="Noto Sans"/>
          <w:b w:val="0"/>
        </w:rPr>
        <w:t>Udostępnianie poradników, filmów lub treści społecznościowych związanych z grą wśród zwykłych graczy nie stanowi automatycznie reklamy; czy takie udostępnienie narusza zasady, powinno być określane głównie w oparciu o częstotliwość, intencje, bezpieczeństwo treści oraz wpływ na normalną komunikację.</w:t>
      </w:r>
    </w:p>
    <w:p>
      <w:pPr>
        <w:pStyle w:val="Heading1"/>
        <w:keepLines w:val="0"/>
      </w:pPr>
      <w:r>
        <w:rPr>
          <w:rFonts w:ascii="Noto Sans" w:hAnsi="Noto Sans" w:eastAsia="Arial Unicode MS" w:cs="Noto Sans"/>
          <w:b w:val="0"/>
        </w:rPr>
        <w:t>4.8 Zabroniona lub poważnie szkodliwa treść</w:t>
      </w:r>
    </w:p>
    <w:p>
      <w:pPr>
        <w:pStyle w:val="ListBullet"/>
        <w:keepLines w:val="0"/>
      </w:pPr>
      <w:r>
        <w:rPr>
          <w:rFonts w:ascii="Noto Sans" w:hAnsi="Noto Sans" w:eastAsia="Arial Unicode MS" w:cs="Noto Sans"/>
          <w:b w:val="0"/>
        </w:rPr>
        <w:t>Nie należy publikować, organizować ani rozpowszechniać żadnej treści stanowiącej materiał wyraźnie zabroniony przez obowiązujące prawo, w tym między innymi materiałów dotyczących seksualnego wykorzystywania dzieci, realnych przestępczych organizacji violentnych, oszustw, nielegalnego hazardu, nielegalnego handlu narkotykami oraz dystrybucji złośliwego oprogramowania.</w:t>
      </w:r>
    </w:p>
    <w:p>
      <w:pPr>
        <w:pStyle w:val="ListBullet"/>
        <w:keepLines w:val="0"/>
      </w:pPr>
      <w:r>
        <w:rPr>
          <w:rFonts w:ascii="Noto Sans" w:hAnsi="Noto Sans" w:eastAsia="Arial Unicode MS" w:cs="Noto Sans"/>
          <w:b w:val="0"/>
        </w:rPr>
        <w:t>Żaden gracz nie będzie używać gry ani oficjalnych platform społecznościowych do rzeczywistego oszustwa, szantażu, nielegalnego zbierania funduszy, prania pieniędzy ani żadnych innych nielegalnych działań, w tym naruszania praw własności intelektualnej.</w:t>
      </w:r>
    </w:p>
    <w:p>
      <w:pPr>
        <w:pStyle w:val="ListBullet"/>
        <w:keepLines w:val="0"/>
      </w:pPr>
      <w:r>
        <w:rPr>
          <w:rFonts w:ascii="Noto Sans" w:hAnsi="Noto Sans" w:eastAsia="Arial Unicode MS" w:cs="Noto Sans"/>
          <w:b w:val="0"/>
        </w:rPr>
        <w:t>Gdy istnieją uzasadnione podstawy do tego, operator może zatrzymać niezbędne dowody, ograniczyć odpowiednie funkcje i współpracować z upoważnionymi organami zgodnie z prawem.</w:t>
      </w:r>
    </w:p>
    <w:p>
      <w:pPr>
        <w:pStyle w:val="Heading1"/>
        <w:keepLines w:val="0"/>
      </w:pPr>
      <w:r>
        <w:rPr>
          <w:rFonts w:ascii="Noto Sans" w:hAnsi="Noto Sans" w:eastAsia="Arial Unicode MS" w:cs="Noto Sans"/>
          <w:b w:val="0"/>
        </w:rPr>
        <w:t>4.9 Nazewnictwo i wyświetlanie tożsamości</w:t>
      </w:r>
    </w:p>
    <w:p>
      <w:pPr>
        <w:pStyle w:val="ListBullet"/>
        <w:keepLines w:val="0"/>
      </w:pPr>
      <w:r>
        <w:rPr>
          <w:rFonts w:ascii="Noto Sans" w:hAnsi="Noto Sans" w:eastAsia="Arial Unicode MS" w:cs="Noto Sans"/>
          <w:b w:val="0"/>
        </w:rPr>
        <w:t>Nazwy graczy, nazwy klanów, nazwy straganów/sklepów, nazwy bestii fantomowych i inne konfigurowalne nazwy nie mogą podszywać się pod oficjalne podmioty, celowo mylić obsługi klienta lub tożsamości systemu ani zawierać poważnie obraźliwej, prześladowczej, nielegalnej, oszustwej lub złośliwie linkującej treści.</w:t>
      </w:r>
    </w:p>
    <w:p>
      <w:pPr>
        <w:pStyle w:val="ListBullet"/>
        <w:keepLines w:val="0"/>
      </w:pPr>
      <w:r>
        <w:rPr>
          <w:rFonts w:ascii="Noto Sans" w:hAnsi="Noto Sans" w:eastAsia="Arial Unicode MS" w:cs="Noto Sans"/>
          <w:b w:val="0"/>
        </w:rPr>
        <w:t>W przypadku nazw naruszających zasady, operator może bezpośrednio zastąpić je tymczasowymi nazwami lub wymagać od graczy zmiany nazwy; w przypadku nazw klanów, operator może zmodyfikować nazwę klanu.</w:t>
      </w:r>
    </w:p>
    <w:p>
      <w:pPr>
        <w:pStyle w:val="ListBullet"/>
        <w:keepLines w:val="0"/>
      </w:pPr>
      <w:r>
        <w:rPr>
          <w:rFonts w:ascii="Noto Sans" w:hAnsi="Noto Sans" w:eastAsia="Arial Unicode MS" w:cs="Noto Sans"/>
          <w:b w:val="0"/>
        </w:rPr>
        <w:t>Jeśli klan popełnia poważne naruszenia w sposób długotrwały, zbiorowy lub zorganizowany, operator może rozwiązać klan i postąpić z indywidualnymi członkami w zależności od stopnia ich udziału.</w:t>
      </w:r>
    </w:p>
    <w:p>
      <w:pPr>
        <w:pStyle w:val="Heading1"/>
        <w:keepLines w:val="0"/>
      </w:pPr>
      <w:r>
        <w:rPr>
          <w:rFonts w:ascii="Noto Sans" w:hAnsi="Noto Sans" w:eastAsia="Arial Unicode MS" w:cs="Noto Sans"/>
          <w:b w:val="0"/>
        </w:rPr>
        <w:t>4.10 Interakcja z GM-ami, Obsługą Klienta oraz Personalem Oficjalnym</w:t>
      </w:r>
    </w:p>
    <w:p>
      <w:pPr>
        <w:pStyle w:val="ListBullet"/>
        <w:keepLines w:val="0"/>
      </w:pPr>
      <w:r>
        <w:rPr>
          <w:rFonts w:ascii="Noto Sans" w:hAnsi="Noto Sans" w:eastAsia="Arial Unicode MS" w:cs="Noto Sans"/>
          <w:b w:val="0"/>
        </w:rPr>
        <w:t>Żaden gracz nie będzie podszywać się pod GM-a, przedstawiciela obsługi klienta ani oficjalnego personelu, ani też fałszywie przedstawiać oficjalnych wyników rozpatrzenia sprawy.</w:t>
      </w:r>
    </w:p>
    <w:p>
      <w:pPr>
        <w:pStyle w:val="ListBullet"/>
        <w:keepLines w:val="0"/>
      </w:pPr>
      <w:r>
        <w:rPr>
          <w:rFonts w:ascii="Noto Sans" w:hAnsi="Noto Sans" w:eastAsia="Arial Unicode MS" w:cs="Noto Sans"/>
          <w:b w:val="0"/>
        </w:rPr>
        <w:t>Żaden gracz nie będzie świadomie dostarczać fałszywych dowodów, fałszować zapisów transakcji, ukrywać kluczowych faktów ani celowo wprowadzać w błąd śledztwa.</w:t>
      </w:r>
    </w:p>
    <w:p>
      <w:pPr>
        <w:pStyle w:val="ListBullet"/>
        <w:keepLines w:val="0"/>
      </w:pPr>
      <w:r>
        <w:rPr>
          <w:rFonts w:ascii="Noto Sans" w:hAnsi="Noto Sans" w:eastAsia="Arial Unicode MS" w:cs="Noto Sans"/>
          <w:b w:val="0"/>
        </w:rPr>
        <w:t>Żaden gracz nie będzie używać nadmiernych, powtarzalnych lub bezprzedmiotowych biletów lub wiadomości do złośliwego zużywania zasobów obsługi klienta; normalne śledzenie nierozwiązanych spraw nie stanowi naruszenia.</w:t>
      </w:r>
    </w:p>
    <w:p>
      <w:pPr>
        <w:pStyle w:val="ListBullet"/>
        <w:keepLines w:val="0"/>
      </w:pPr>
      <w:r>
        <w:rPr>
          <w:rFonts w:ascii="Noto Sans" w:hAnsi="Noto Sans" w:eastAsia="Arial Unicode MS" w:cs="Noto Sans"/>
          <w:b w:val="0"/>
        </w:rPr>
        <w:t>Żaden gracz nie będzie obrażać, zastraszać ani molestować obsługi klienta ani personelu. Spory dotyczące kar muszą być rozwiązywane za pośrednictwem oficjalnego kanału odwoławczego.</w:t>
      </w:r>
    </w:p>
    <w:p>
      <w:pPr>
        <w:pStyle w:val="Heading1"/>
        <w:keepLines w:val="0"/>
      </w:pPr>
      <w:r>
        <w:rPr>
          <w:rFonts w:ascii="Noto Sans" w:hAnsi="Noto Sans" w:eastAsia="Arial Unicode MS" w:cs="Noto Sans"/>
          <w:b w:val="0"/>
        </w:rPr>
        <w:t>4.11 Oficjalna strona internetowa, forum i oficjalna społeczność</w:t>
      </w:r>
    </w:p>
    <w:p>
      <w:pPr>
        <w:pStyle w:val="ListBullet"/>
        <w:keepLines w:val="0"/>
      </w:pPr>
      <w:r>
        <w:rPr>
          <w:rFonts w:ascii="Noto Sans" w:hAnsi="Noto Sans" w:eastAsia="Arial Unicode MS" w:cs="Noto Sans"/>
          <w:b w:val="0"/>
        </w:rPr>
        <w:t>Oficjalna strona internetowa, forum i oficjalna społeczność podlegają tym samym zasadom przeciwdziałania oszustwom, nękaniu, nielegalnym działaniom, spamowi oraz nazewnictwu, które zostały opisane w tym dokumencie. Zasady Graczy i Polityka Egzekwowania.</w:t>
      </w:r>
    </w:p>
    <w:p>
      <w:pPr>
        <w:pStyle w:val="ListBullet"/>
        <w:keepLines w:val="0"/>
      </w:pPr>
      <w:r>
        <w:rPr>
          <w:rFonts w:ascii="Noto Sans" w:hAnsi="Noto Sans" w:eastAsia="Arial Unicode MS" w:cs="Noto Sans"/>
          <w:b w:val="0"/>
        </w:rPr>
        <w:t>Operator może usuwać lub ukrywać posty, komentarze, załączniki, linki i powiązaną treść; w przypadku poważnych lub powtarzających się naruszeń operator może usunąć odpowiadający profil społecznościowy.</w:t>
      </w:r>
    </w:p>
    <w:p>
      <w:pPr>
        <w:pStyle w:val="ListBullet"/>
        <w:keepLines w:val="0"/>
      </w:pPr>
      <w:r>
        <w:rPr>
          <w:rFonts w:ascii="Noto Sans" w:hAnsi="Noto Sans" w:eastAsia="Arial Unicode MS" w:cs="Noto Sans"/>
          <w:b w:val="0"/>
        </w:rPr>
        <w:t>Usunięcie posta na forum lub profilu nie równa się usunięciu konta w grze, ani nie wpływa automatycznie na status postaci w grze, chyba że naruszenie ma miejsce jednocześnie w grze lub bezpośrednio dotyczy bezpieczeństwa gry i porządku ekonomicznego.</w:t>
      </w:r>
    </w:p>
    <w:p>
      <w:pPr>
        <w:pStyle w:val="Heading1"/>
        <w:keepLines w:val="0"/>
      </w:pPr>
      <w:r>
        <w:rPr>
          <w:rFonts w:ascii="Noto Sans" w:hAnsi="Noto Sans" w:eastAsia="Arial Unicode MS" w:cs="Noto Sans"/>
          <w:b w:val="0"/>
        </w:rPr>
        <w:t>4.12 Zakłócenia usługi, ataki i nieautoryzowane działania techniczne</w:t>
      </w:r>
    </w:p>
    <w:p>
      <w:pPr>
        <w:keepLines w:val="0"/>
      </w:pPr>
      <w:r>
        <w:rPr>
          <w:rFonts w:ascii="Noto Sans" w:hAnsi="Noto Sans" w:eastAsia="Arial Unicode MS" w:cs="Noto Sans"/>
          <w:b w:val="0"/>
        </w:rPr>
        <w:t>Niniejsze zasady dotyczą również DAWNBLOOM AI i DAWNBLOOM Fairy. Zabrania się wykorzystywania wstrzykiwania instrukcji, podszywania się pod inne osoby, fałszowania upoważnień, nadużyć automatyzacji lub innych sposobów do pozyskiwania niepublicznych materiałów, odczytywania kont i danych gry innych osób, omijania uprawnień Intelligent UI lub atakowania usług modeli. Odpowiedź AI nie może stanowić podstawy zmiany zasad gry, przywrócenia aktywów ani zwolnienia z odpowiedzialności za naruszenia; dochodzenie, kary, powiadomienia i odwołania nadal podlegają dotychczasowym procedurom określonym w niniejszym dokumencie.</w:t>
      </w:r>
    </w:p>
    <w:p>
      <w:pPr>
        <w:pStyle w:val="ListBullet"/>
        <w:keepLines w:val="0"/>
      </w:pPr>
      <w:r>
        <w:rPr>
          <w:rFonts w:ascii="Noto Sans" w:hAnsi="Noto Sans" w:eastAsia="Arial Unicode MS" w:cs="Noto Sans"/>
          <w:b w:val="0"/>
        </w:rPr>
        <w:t>Zabronione jest atakowanie, zakłócanie, skanowanie, włamanie się lub zakłócanie działania serwerów gier, oficjalnych stron internetowych, interfejsów API, baz danych, backendów GM lub jakiejkolwiek innej infrastruktury.</w:t>
      </w:r>
    </w:p>
    <w:p>
      <w:pPr>
        <w:pStyle w:val="ListBullet"/>
        <w:keepLines w:val="0"/>
      </w:pPr>
      <w:r>
        <w:rPr>
          <w:rFonts w:ascii="Noto Sans" w:hAnsi="Noto Sans" w:eastAsia="Arial Unicode MS" w:cs="Noto Sans"/>
          <w:b w:val="0"/>
        </w:rPr>
        <w:t>Zabronione jest omijanie kontroli dostępu, ograniczeń uprawnień, limitów częstotliwości, weryfikacji bezpieczeństwa lub próby odczytu danych wewnętrznych, które nie są publicznie udostępniane graczom.</w:t>
      </w:r>
    </w:p>
    <w:p>
      <w:pPr>
        <w:pStyle w:val="ListBullet"/>
        <w:keepLines w:val="0"/>
      </w:pPr>
      <w:r>
        <w:rPr>
          <w:rFonts w:ascii="Noto Sans" w:hAnsi="Noto Sans" w:eastAsia="Arial Unicode MS" w:cs="Noto Sans"/>
          <w:b w:val="0"/>
        </w:rPr>
        <w:t>Zabronione jest zbieranie masowe danych graczy, danych interfejsu wewnętrznego, niepublicznych wzorców prawdopodobieństwa lub informacji backendowych, jak również używanie środków technicznych do wpływania na stabilność serwera bez autoryzacji.</w:t>
      </w:r>
    </w:p>
    <w:p>
      <w:pPr>
        <w:pStyle w:val="ListBullet"/>
        <w:keepLines w:val="0"/>
      </w:pPr>
      <w:r>
        <w:rPr>
          <w:rFonts w:ascii="Noto Sans" w:hAnsi="Noto Sans" w:eastAsia="Arial Unicode MS" w:cs="Noto Sans"/>
          <w:b w:val="0"/>
        </w:rPr>
        <w:t>Jeśli badacze bezpieczeństwa wykryją luki, muszą natychmiast zaprzestać dalszego zwiększania ich wpływu i zgłosić problem poprzez oficjalną obsługę klienta lub kanały bezpieczeństwa. Luki zgłoszone w dobrej wierze i niewykorzystywane w sposób nadużycia będą traktowane priorytetowo zgodnie z ustaloną procedurą naprawy luk.</w:t>
      </w:r>
    </w:p>
    <w:p>
      <w:pPr>
        <w:pStyle w:val="Heading1"/>
        <w:keepLines w:val="0"/>
      </w:pPr>
      <w:r>
        <w:rPr>
          <w:rFonts w:ascii="Noto Sans" w:hAnsi="Noto Sans" w:eastAsia="Arial Unicode MS" w:cs="Noto Sans"/>
          <w:b w:val="0"/>
        </w:rPr>
        <w:t>4.13 Doładowanie, zwrot i integralność płatności</w:t>
      </w:r>
    </w:p>
    <w:p>
      <w:pPr>
        <w:pStyle w:val="ListBullet"/>
        <w:keepLines w:val="0"/>
      </w:pPr>
      <w:r>
        <w:rPr>
          <w:rFonts w:ascii="Noto Sans" w:hAnsi="Noto Sans" w:eastAsia="Arial Unicode MS" w:cs="Noto Sans"/>
          <w:b w:val="0"/>
        </w:rPr>
        <w:t>Zabronione jest korzystanie ze skradzionych metod płatności, fałszywych instrumentów płatniczych, złośliwego niezapłacenia, podwójnych zwrotów lub innych środków mających na celu nieetyczne cofnięcie środków po zużyciu treści wirtualnych.</w:t>
      </w:r>
    </w:p>
    <w:p>
      <w:pPr>
        <w:pStyle w:val="ListBullet"/>
        <w:keepLines w:val="0"/>
      </w:pPr>
      <w:r>
        <w:rPr>
          <w:rFonts w:ascii="Noto Sans" w:hAnsi="Noto Sans" w:eastAsia="Arial Unicode MS" w:cs="Noto Sans"/>
          <w:b w:val="0"/>
        </w:rPr>
        <w:t>Zwroty wynikające z normalnych sporów dotyczących platform płatniczych, przypadkowych potrąceń, praw ustawowych małoletnich lub uzasadnionych wniosków o zwrot nie stanowią automatycznie naruszenia; operator rozpatruje takie sprawy w oparciu o zapisy płatnicze i obowiązujące przepisy prawa.</w:t>
      </w:r>
    </w:p>
    <w:p>
      <w:pPr>
        <w:pStyle w:val="ListBullet"/>
        <w:keepLines w:val="0"/>
      </w:pPr>
      <w:r>
        <w:rPr>
          <w:rFonts w:ascii="Noto Sans" w:hAnsi="Noto Sans" w:eastAsia="Arial Unicode MS" w:cs="Noto Sans"/>
          <w:b w:val="0"/>
        </w:rPr>
        <w:t>Jeśli zwrot spowoduje utratę podstawy płatności za już wydane aktywa wirtualne, operator może zamrozić lub odzyskać odpowiednie przedmioty wirtualne oraz cofnąć odpowiednie wartości lub transakcje.</w:t>
      </w:r>
    </w:p>
    <w:p>
      <w:pPr>
        <w:pStyle w:val="Heading1"/>
        <w:keepLines w:val="0"/>
      </w:pPr>
      <w:r>
        <w:rPr>
          <w:rFonts w:ascii="Noto Sans" w:hAnsi="Noto Sans" w:eastAsia="Arial Unicode MS" w:cs="Noto Sans"/>
          <w:b w:val="0"/>
        </w:rPr>
        <w:t>4.14 Zorganizowana działalność czarnego rynku i unikanie kar</w:t>
      </w:r>
    </w:p>
    <w:p>
      <w:pPr>
        <w:pStyle w:val="ListBullet"/>
        <w:keepLines w:val="0"/>
      </w:pPr>
      <w:r>
        <w:rPr>
          <w:rFonts w:ascii="Noto Sans" w:hAnsi="Noto Sans" w:eastAsia="Arial Unicode MS" w:cs="Noto Sans"/>
          <w:b w:val="0"/>
        </w:rPr>
        <w:t>Każda organizacja lub uczestnictwo w grupie lub studiu angażującym się w działalność taką jak hakowanie kont, oprogramowanie cheatów, kopiowanie przedmiotów, abnormalne kopanie, oszustwa, nieautoryzowana handel, masowe tworzenie kont lub złośliwe wnioski o zwrot mogą być karane surowymi karami.</w:t>
      </w:r>
    </w:p>
    <w:p>
      <w:pPr>
        <w:pStyle w:val="ListBullet"/>
        <w:keepLines w:val="0"/>
      </w:pPr>
      <w:r>
        <w:rPr>
          <w:rFonts w:ascii="Noto Sans" w:hAnsi="Noto Sans" w:eastAsia="Arial Unicode MS" w:cs="Noto Sans"/>
          <w:b w:val="0"/>
        </w:rPr>
        <w:t>Korzystanie z powiązanych kont, klanów, magazynów, e-maili, systemów prezentów lub łańcuchów transakcji w celu transferu nielegalnych zysków nie zwalnia operatora z obowiązku śledzenia i rozpatrywania naruszenia.</w:t>
      </w:r>
    </w:p>
    <w:p>
      <w:pPr>
        <w:pStyle w:val="ListBullet"/>
        <w:keepLines w:val="0"/>
      </w:pPr>
      <w:r>
        <w:rPr>
          <w:rFonts w:ascii="Noto Sans" w:hAnsi="Noto Sans" w:eastAsia="Arial Unicode MS" w:cs="Noto Sans"/>
          <w:b w:val="0"/>
        </w:rPr>
        <w:t>Konto, postać, nazwa, urządzenie lub aktywo utrzymywane w imieniu innej osoby podlega karom, jeśli działania te mają na celu uniknięcie egzekwowania przepisów, a takie kary mogą być rozszerzone na powiązane konta, postaci lub aktywa, pod warunkiem że związek został ustalony na podstawie wiarygodnych dowodów.</w:t>
      </w:r>
    </w:p>
    <w:p>
      <w:pPr>
        <w:pStyle w:val="Heading1"/>
        <w:keepLines w:val="0"/>
      </w:pPr>
      <w:r>
        <w:rPr>
          <w:rFonts w:ascii="Noto Sans" w:hAnsi="Noto Sans" w:eastAsia="Arial Unicode MS" w:cs="Noto Sans"/>
          <w:b w:val="0"/>
        </w:rPr>
        <w:t>Rozdział Pięć: Kary</w:t>
      </w:r>
    </w:p>
    <w:p>
      <w:pPr>
        <w:keepLines w:val="0"/>
      </w:pPr>
      <w:r>
        <w:rPr>
          <w:rFonts w:ascii="Noto Sans" w:hAnsi="Noto Sans" w:eastAsia="Arial Unicode MS" w:cs="Noto Sans"/>
          <w:b w:val="0"/>
        </w:rPr>
        <w:t>Operator może według własnego uznania stosować samodzielnie lub łącznie następujące środki w zależności od charakteru i ciężaru zachowania. Wymieniona kolejność nie oznacza obowiązkowej eskalacji krok po kroku ani nie wskazuje, że wszystkie środki muszą być stosowane w każdym przypadku naruszenia.</w:t>
      </w:r>
    </w:p>
    <w:tbl>
      <w:tblPr>
        <w:tblStyle w:val="TableGrid"/>
        <w:tblW w:type="auto" w:w="0"/>
        <w:tblLayout w:type="autofit"/>
        <w:tblLook w:firstColumn="1" w:firstRow="1" w:lastColumn="0" w:lastRow="0" w:noHBand="0" w:noVBand="1" w:val="04A0"/>
      </w:tblPr>
      <w:tblGrid>
        <w:gridCol w:w="4873"/>
        <w:gridCol w:w="4873"/>
      </w:tblGrid>
      <w:tr>
        <w:trPr>
          <w:cantSplit/>
          <w:tblHeader/>
        </w:trPr>
        <w:tc>
          <w:tcPr>
            <w:tcW w:type="dxa" w:w="4873"/>
            <w:vAlign w:val="center"/>
            <w:shd w:fill="DCE8F7"/>
          </w:tcPr>
          <w:p>
            <w:pPr>
              <w:keepNext/>
              <w:spacing w:after="40"/>
            </w:pPr>
            <w:r>
              <w:rPr>
                <w:rFonts w:ascii="Noto Sans" w:hAnsi="Noto Sans" w:eastAsia="Arial Unicode MS" w:cs="Noto Sans"/>
                <w:b/>
                <w:sz w:val="17"/>
              </w:rPr>
              <w:t>Kary</w:t>
            </w:r>
          </w:p>
        </w:tc>
        <w:tc>
          <w:tcPr>
            <w:tcW w:type="dxa" w:w="4873"/>
            <w:vAlign w:val="center"/>
            <w:shd w:fill="DCE8F7"/>
          </w:tcPr>
          <w:p>
            <w:pPr>
              <w:keepNext/>
              <w:spacing w:after="40"/>
            </w:pPr>
            <w:r>
              <w:rPr>
                <w:rFonts w:ascii="Noto Sans" w:hAnsi="Noto Sans" w:eastAsia="Arial Unicode MS" w:cs="Noto Sans"/>
                <w:b/>
                <w:sz w:val="17"/>
              </w:rPr>
              <w:t>Znaczenie</w:t>
            </w:r>
          </w:p>
        </w:tc>
      </w:tr>
      <w:tr>
        <w:trPr>
          <w:cantSplit/>
        </w:trPr>
        <w:tc>
          <w:tcPr>
            <w:tcW w:type="dxa" w:w="4873"/>
            <w:vAlign w:val="center"/>
          </w:tcPr>
          <w:p>
            <w:pPr>
              <w:spacing w:after="40"/>
            </w:pPr>
            <w:r>
              <w:rPr>
                <w:rFonts w:ascii="Noto Sans" w:hAnsi="Noto Sans" w:eastAsia="Arial Unicode MS" w:cs="Noto Sans"/>
                <w:sz w:val="17"/>
              </w:rPr>
              <w:t>Ostrzeżenie</w:t>
            </w:r>
          </w:p>
        </w:tc>
        <w:tc>
          <w:tcPr>
            <w:tcW w:type="dxa" w:w="4873"/>
            <w:vAlign w:val="center"/>
          </w:tcPr>
          <w:p>
            <w:pPr>
              <w:spacing w:after="40"/>
            </w:pPr>
            <w:r>
              <w:rPr>
                <w:rFonts w:ascii="Noto Sans" w:hAnsi="Noto Sans" w:eastAsia="Arial Unicode MS" w:cs="Noto Sans"/>
                <w:sz w:val="17"/>
              </w:rPr>
              <w:t>Poinformuj graczy o faktach naruszenia poprzez grę, oficjalną stronę internetową, e-mail lub kanały obsługi klienta, zażądaj natychmiastowego zaprzestania takich działań oraz poinformuj o potencjalnych konsekwencjach.</w:t>
            </w:r>
          </w:p>
        </w:tc>
      </w:tr>
      <w:tr>
        <w:trPr>
          <w:cantSplit/>
        </w:trPr>
        <w:tc>
          <w:tcPr>
            <w:tcW w:type="dxa" w:w="4873"/>
            <w:vAlign w:val="center"/>
          </w:tcPr>
          <w:p>
            <w:pPr>
              <w:spacing w:after="40"/>
            </w:pPr>
            <w:r>
              <w:rPr>
                <w:rFonts w:ascii="Noto Sans" w:hAnsi="Noto Sans" w:eastAsia="Arial Unicode MS" w:cs="Noto Sans"/>
                <w:sz w:val="17"/>
              </w:rPr>
              <w:t>przymusowe wylogowanie</w:t>
            </w:r>
          </w:p>
        </w:tc>
        <w:tc>
          <w:tcPr>
            <w:tcW w:type="dxa" w:w="4873"/>
            <w:vAlign w:val="center"/>
          </w:tcPr>
          <w:p>
            <w:pPr>
              <w:spacing w:after="40"/>
            </w:pPr>
            <w:r>
              <w:rPr>
                <w:rFonts w:ascii="Noto Sans" w:hAnsi="Noto Sans" w:eastAsia="Arial Unicode MS" w:cs="Noto Sans"/>
                <w:sz w:val="17"/>
              </w:rPr>
              <w:t>Natychmiast zakończ bieżącą sesję gry, aby zatrzymać trwające naruszenia, zabezpieczyć bezpieczeństwo konta lub ułatwić śledztwo.</w:t>
            </w:r>
          </w:p>
        </w:tc>
      </w:tr>
      <w:tr>
        <w:trPr>
          <w:cantSplit/>
        </w:trPr>
        <w:tc>
          <w:tcPr>
            <w:tcW w:type="dxa" w:w="4873"/>
            <w:vAlign w:val="center"/>
          </w:tcPr>
          <w:p>
            <w:pPr>
              <w:spacing w:after="40"/>
            </w:pPr>
            <w:r>
              <w:rPr>
                <w:rFonts w:ascii="Noto Sans" w:hAnsi="Noto Sans" w:eastAsia="Arial Unicode MS" w:cs="Noto Sans"/>
                <w:sz w:val="17"/>
              </w:rPr>
              <w:t>Zakaz komunikacji</w:t>
            </w:r>
          </w:p>
        </w:tc>
        <w:tc>
          <w:tcPr>
            <w:tcW w:type="dxa" w:w="4873"/>
            <w:vAlign w:val="center"/>
          </w:tcPr>
          <w:p>
            <w:pPr>
              <w:spacing w:after="40"/>
            </w:pPr>
            <w:r>
              <w:rPr>
                <w:rFonts w:ascii="Noto Sans" w:hAnsi="Noto Sans" w:eastAsia="Arial Unicode MS" w:cs="Noto Sans"/>
                <w:sz w:val="17"/>
              </w:rPr>
              <w:t>Ogranicz funkcje komunikacyjne w świecie, pobliskich obszarach, drużynach, klanach, prywatnych wiadomościach, komentarzach na forum lub innych kanałach, z konkretnym zakresem i czasem trwania zgodnie z powiadomieniem.</w:t>
            </w:r>
          </w:p>
        </w:tc>
      </w:tr>
      <w:tr>
        <w:trPr>
          <w:cantSplit/>
        </w:trPr>
        <w:tc>
          <w:tcPr>
            <w:tcW w:type="dxa" w:w="4873"/>
            <w:vAlign w:val="center"/>
          </w:tcPr>
          <w:p>
            <w:pPr>
              <w:spacing w:after="40"/>
            </w:pPr>
            <w:r>
              <w:rPr>
                <w:rFonts w:ascii="Noto Sans" w:hAnsi="Noto Sans" w:eastAsia="Arial Unicode MS" w:cs="Noto Sans"/>
                <w:sz w:val="17"/>
              </w:rPr>
              <w:t>Tymczasowa Izolacja (Więzienie)</w:t>
            </w:r>
          </w:p>
        </w:tc>
        <w:tc>
          <w:tcPr>
            <w:tcW w:type="dxa" w:w="4873"/>
            <w:vAlign w:val="center"/>
          </w:tcPr>
          <w:p>
            <w:pPr>
              <w:spacing w:after="40"/>
            </w:pPr>
            <w:r>
              <w:rPr>
                <w:rFonts w:ascii="Noto Sans" w:hAnsi="Noto Sans" w:eastAsia="Arial Unicode MS" w:cs="Noto Sans"/>
                <w:sz w:val="17"/>
              </w:rPr>
              <w:t>Tymczasowo przenieś postać do strefy izolacji i jednocześnie możesz ograniczyć funkcje takie jak walka, aktywności grupowe, handel, prezenty przedmiotów, transfery poczty i wydarzenia klanowe.</w:t>
            </w:r>
          </w:p>
        </w:tc>
      </w:tr>
      <w:tr>
        <w:trPr>
          <w:cantSplit/>
        </w:trPr>
        <w:tc>
          <w:tcPr>
            <w:tcW w:type="dxa" w:w="4873"/>
            <w:vAlign w:val="center"/>
          </w:tcPr>
          <w:p>
            <w:pPr>
              <w:spacing w:after="40"/>
            </w:pPr>
            <w:r>
              <w:rPr>
                <w:rFonts w:ascii="Noto Sans" w:hAnsi="Noto Sans" w:eastAsia="Arial Unicode MS" w:cs="Noto Sans"/>
                <w:sz w:val="17"/>
              </w:rPr>
              <w:t>Trwała Izolacja (Więzienie)</w:t>
            </w:r>
          </w:p>
        </w:tc>
        <w:tc>
          <w:tcPr>
            <w:tcW w:type="dxa" w:w="4873"/>
            <w:vAlign w:val="center"/>
          </w:tcPr>
          <w:p>
            <w:pPr>
              <w:spacing w:after="40"/>
            </w:pPr>
            <w:r>
              <w:rPr>
                <w:rFonts w:ascii="Noto Sans" w:hAnsi="Noto Sans" w:eastAsia="Arial Unicode MS" w:cs="Noto Sans"/>
                <w:sz w:val="17"/>
              </w:rPr>
              <w:t>Jest to najwyższy poziom kar w grze. Postać zostanie umieszczona w długoterminowej lub stałej izolacji, tracąc dostęp do normalnych światów gry i podstawowych funkcji rozgrywki, zachowując jednocześnie niezbędny dostęp do logowania, powiadomień, obsługi klienta i kanałów odwoławczych.</w:t>
            </w:r>
          </w:p>
        </w:tc>
      </w:tr>
      <w:tr>
        <w:trPr>
          <w:cantSplit/>
        </w:trPr>
        <w:tc>
          <w:tcPr>
            <w:tcW w:type="dxa" w:w="4873"/>
            <w:vAlign w:val="center"/>
          </w:tcPr>
          <w:p>
            <w:pPr>
              <w:spacing w:after="40"/>
            </w:pPr>
            <w:r>
              <w:rPr>
                <w:rFonts w:ascii="Noto Sans" w:hAnsi="Noto Sans" w:eastAsia="Arial Unicode MS" w:cs="Noto Sans"/>
                <w:sz w:val="17"/>
              </w:rPr>
              <w:t>Zamrożenie przedmiotów wirtualnych w grze</w:t>
            </w:r>
          </w:p>
        </w:tc>
        <w:tc>
          <w:tcPr>
            <w:tcW w:type="dxa" w:w="4873"/>
            <w:vAlign w:val="center"/>
          </w:tcPr>
          <w:p>
            <w:pPr>
              <w:spacing w:after="40"/>
            </w:pPr>
            <w:r>
              <w:rPr>
                <w:rFonts w:ascii="Noto Sans" w:hAnsi="Noto Sans" w:eastAsia="Arial Unicode MS" w:cs="Noto Sans"/>
                <w:sz w:val="17"/>
              </w:rPr>
              <w:t>Ogranicz używanie i obrot specjalnymi przedmiotami wirtualnymi, walutami lub aktywami, aby zapobiec dalszemu rozpowszechnianiu się abnormalnych aktywów.</w:t>
            </w:r>
          </w:p>
        </w:tc>
      </w:tr>
      <w:tr>
        <w:trPr>
          <w:cantSplit/>
        </w:trPr>
        <w:tc>
          <w:tcPr>
            <w:tcW w:type="dxa" w:w="4873"/>
            <w:vAlign w:val="center"/>
          </w:tcPr>
          <w:p>
            <w:pPr>
              <w:spacing w:after="40"/>
            </w:pPr>
            <w:r>
              <w:rPr>
                <w:rFonts w:ascii="Noto Sans" w:hAnsi="Noto Sans" w:eastAsia="Arial Unicode MS" w:cs="Noto Sans"/>
                <w:sz w:val="17"/>
              </w:rPr>
              <w:t>Pobierz wirtualne przedmioty z gry</w:t>
            </w:r>
          </w:p>
        </w:tc>
        <w:tc>
          <w:tcPr>
            <w:tcW w:type="dxa" w:w="4873"/>
            <w:vAlign w:val="center"/>
          </w:tcPr>
          <w:p>
            <w:pPr>
              <w:spacing w:after="40"/>
            </w:pPr>
            <w:r>
              <w:rPr>
                <w:rFonts w:ascii="Noto Sans" w:hAnsi="Noto Sans" w:eastAsia="Arial Unicode MS" w:cs="Noto Sans"/>
                <w:sz w:val="17"/>
              </w:rPr>
              <w:t>Usuń nielegalnie uzyskane przedmioty, skradzione przedmioty, zduplikowane przedmioty, abnormalne aktywa lub jakiekolwiek bezpośrednie przychody z nich uzyskane.</w:t>
            </w:r>
          </w:p>
        </w:tc>
      </w:tr>
      <w:tr>
        <w:trPr>
          <w:cantSplit/>
        </w:trPr>
        <w:tc>
          <w:tcPr>
            <w:tcW w:type="dxa" w:w="4873"/>
            <w:vAlign w:val="center"/>
          </w:tcPr>
          <w:p>
            <w:pPr>
              <w:spacing w:after="40"/>
            </w:pPr>
            <w:r>
              <w:rPr>
                <w:rFonts w:ascii="Noto Sans" w:hAnsi="Noto Sans" w:eastAsia="Arial Unicode MS" w:cs="Noto Sans"/>
                <w:sz w:val="17"/>
              </w:rPr>
              <w:t>Odliczenie wartości ujemnej</w:t>
            </w:r>
          </w:p>
        </w:tc>
        <w:tc>
          <w:tcPr>
            <w:tcW w:type="dxa" w:w="4873"/>
            <w:vAlign w:val="center"/>
          </w:tcPr>
          <w:p>
            <w:pPr>
              <w:spacing w:after="40"/>
            </w:pPr>
            <w:r>
              <w:rPr>
                <w:rFonts w:ascii="Noto Sans" w:hAnsi="Noto Sans" w:eastAsia="Arial Unicode MS" w:cs="Noto Sans"/>
                <w:sz w:val="17"/>
              </w:rPr>
              <w:t>Cofnij lub odlicz dowolne doświadczenie, złoto, magiczne monety, reputację, punkty, wzrosty atrybutów lub korzyści rankingowe uzyskane poprzez naruszenie.</w:t>
            </w:r>
          </w:p>
        </w:tc>
      </w:tr>
      <w:tr>
        <w:trPr>
          <w:cantSplit/>
        </w:trPr>
        <w:tc>
          <w:tcPr>
            <w:tcW w:type="dxa" w:w="4873"/>
            <w:vAlign w:val="center"/>
          </w:tcPr>
          <w:p>
            <w:pPr>
              <w:spacing w:after="40"/>
            </w:pPr>
            <w:r>
              <w:rPr>
                <w:rFonts w:ascii="Noto Sans" w:hAnsi="Noto Sans" w:eastAsia="Arial Unicode MS" w:cs="Noto Sans"/>
                <w:sz w:val="17"/>
              </w:rPr>
              <w:t>Ograniczenia transakcyjne</w:t>
            </w:r>
          </w:p>
        </w:tc>
        <w:tc>
          <w:tcPr>
            <w:tcW w:type="dxa" w:w="4873"/>
            <w:vAlign w:val="center"/>
          </w:tcPr>
          <w:p>
            <w:pPr>
              <w:spacing w:after="40"/>
            </w:pPr>
            <w:r>
              <w:rPr>
                <w:rFonts w:ascii="Noto Sans" w:hAnsi="Noto Sans" w:eastAsia="Arial Unicode MS" w:cs="Noto Sans"/>
                <w:sz w:val="17"/>
              </w:rPr>
              <w:t>Ogranicz jedną lub więcej z następujących funkcji transakcyjnych: bezpośredni handel, prezenty, wystawianie na sprzedaż/kupno w sklepie, dołączanie aktywów przez pocztę lub konsignację.</w:t>
            </w:r>
          </w:p>
        </w:tc>
      </w:tr>
      <w:tr>
        <w:trPr>
          <w:cantSplit/>
        </w:trPr>
        <w:tc>
          <w:tcPr>
            <w:tcW w:type="dxa" w:w="4873"/>
            <w:vAlign w:val="center"/>
          </w:tcPr>
          <w:p>
            <w:pPr>
              <w:spacing w:after="40"/>
            </w:pPr>
            <w:r>
              <w:rPr>
                <w:rFonts w:ascii="Noto Sans" w:hAnsi="Noto Sans" w:eastAsia="Arial Unicode MS" w:cs="Noto Sans"/>
                <w:sz w:val="17"/>
              </w:rPr>
              <w:t>Zmiana nazwy gracza</w:t>
            </w:r>
          </w:p>
        </w:tc>
        <w:tc>
          <w:tcPr>
            <w:tcW w:type="dxa" w:w="4873"/>
            <w:vAlign w:val="center"/>
          </w:tcPr>
          <w:p>
            <w:pPr>
              <w:spacing w:after="40"/>
            </w:pPr>
            <w:r>
              <w:rPr>
                <w:rFonts w:ascii="Noto Sans" w:hAnsi="Noto Sans" w:eastAsia="Arial Unicode MS" w:cs="Noto Sans"/>
                <w:sz w:val="17"/>
              </w:rPr>
              <w:t>Wymuszaj zmianę nazw graczy uznanych za nieodpowiednie, oszukańcze lub wprowadzające w błąd.</w:t>
            </w:r>
          </w:p>
        </w:tc>
      </w:tr>
      <w:tr>
        <w:trPr>
          <w:cantSplit/>
        </w:trPr>
        <w:tc>
          <w:tcPr>
            <w:tcW w:type="dxa" w:w="4873"/>
            <w:vAlign w:val="center"/>
          </w:tcPr>
          <w:p>
            <w:pPr>
              <w:spacing w:after="40"/>
            </w:pPr>
            <w:r>
              <w:rPr>
                <w:rFonts w:ascii="Noto Sans" w:hAnsi="Noto Sans" w:eastAsia="Arial Unicode MS" w:cs="Noto Sans"/>
                <w:sz w:val="17"/>
              </w:rPr>
              <w:t>Zmiana nazwy klanu</w:t>
            </w:r>
          </w:p>
        </w:tc>
        <w:tc>
          <w:tcPr>
            <w:tcW w:type="dxa" w:w="4873"/>
            <w:vAlign w:val="center"/>
          </w:tcPr>
          <w:p>
            <w:pPr>
              <w:spacing w:after="40"/>
            </w:pPr>
            <w:r>
              <w:rPr>
                <w:rFonts w:ascii="Noto Sans" w:hAnsi="Noto Sans" w:eastAsia="Arial Unicode MS" w:cs="Noto Sans"/>
                <w:sz w:val="17"/>
              </w:rPr>
              <w:t>Wymuszaj zmianę nazw klanów, w których stwierdzono naruszenie zasad lub które wprowadzają w błąd.</w:t>
            </w:r>
          </w:p>
        </w:tc>
      </w:tr>
      <w:tr>
        <w:trPr>
          <w:cantSplit/>
        </w:trPr>
        <w:tc>
          <w:tcPr>
            <w:tcW w:type="dxa" w:w="4873"/>
            <w:vAlign w:val="center"/>
          </w:tcPr>
          <w:p>
            <w:pPr>
              <w:spacing w:after="40"/>
            </w:pPr>
            <w:r>
              <w:rPr>
                <w:rFonts w:ascii="Noto Sans" w:hAnsi="Noto Sans" w:eastAsia="Arial Unicode MS" w:cs="Noto Sans"/>
                <w:sz w:val="17"/>
              </w:rPr>
              <w:t>Rozwiązanie klanu</w:t>
            </w:r>
          </w:p>
        </w:tc>
        <w:tc>
          <w:tcPr>
            <w:tcW w:type="dxa" w:w="4873"/>
            <w:vAlign w:val="center"/>
          </w:tcPr>
          <w:p>
            <w:pPr>
              <w:spacing w:after="40"/>
            </w:pPr>
            <w:r>
              <w:rPr>
                <w:rFonts w:ascii="Noto Sans" w:hAnsi="Noto Sans" w:eastAsia="Arial Unicode MS" w:cs="Noto Sans"/>
                <w:sz w:val="17"/>
              </w:rPr>
              <w:t>Rozwiąż klany, które angażowały się w długotrwałe, zorganizowane lub głównie złośliwe naruszenia.</w:t>
            </w:r>
          </w:p>
        </w:tc>
      </w:tr>
      <w:tr>
        <w:trPr>
          <w:cantSplit/>
        </w:trPr>
        <w:tc>
          <w:tcPr>
            <w:tcW w:type="dxa" w:w="4873"/>
            <w:vAlign w:val="center"/>
          </w:tcPr>
          <w:p>
            <w:pPr>
              <w:spacing w:after="40"/>
            </w:pPr>
            <w:r>
              <w:rPr>
                <w:rFonts w:ascii="Noto Sans" w:hAnsi="Noto Sans" w:eastAsia="Arial Unicode MS" w:cs="Noto Sans"/>
                <w:sz w:val="17"/>
              </w:rPr>
              <w:t>Usuń post na forum</w:t>
            </w:r>
          </w:p>
        </w:tc>
        <w:tc>
          <w:tcPr>
            <w:tcW w:type="dxa" w:w="4873"/>
            <w:vAlign w:val="center"/>
          </w:tcPr>
          <w:p>
            <w:pPr>
              <w:spacing w:after="40"/>
            </w:pPr>
            <w:r>
              <w:rPr>
                <w:rFonts w:ascii="Noto Sans" w:hAnsi="Noto Sans" w:eastAsia="Arial Unicode MS" w:cs="Noto Sans"/>
                <w:sz w:val="17"/>
              </w:rPr>
              <w:t>Usuń lub ukryj obraźliwe tematy, komentarze, załączniki lub linki na oficjalnej stronie internetowej/forum/oficjalnej społeczności.</w:t>
            </w:r>
          </w:p>
        </w:tc>
      </w:tr>
      <w:tr>
        <w:trPr>
          <w:cantSplit/>
        </w:trPr>
        <w:tc>
          <w:tcPr>
            <w:tcW w:type="dxa" w:w="4873"/>
            <w:vAlign w:val="center"/>
          </w:tcPr>
          <w:p>
            <w:pPr>
              <w:spacing w:after="40"/>
            </w:pPr>
            <w:r>
              <w:rPr>
                <w:rFonts w:ascii="Noto Sans" w:hAnsi="Noto Sans" w:eastAsia="Arial Unicode MS" w:cs="Noto Sans"/>
                <w:sz w:val="17"/>
              </w:rPr>
              <w:t>Usunięcie archiwum</w:t>
            </w:r>
          </w:p>
        </w:tc>
        <w:tc>
          <w:tcPr>
            <w:tcW w:type="dxa" w:w="4873"/>
            <w:vAlign w:val="center"/>
          </w:tcPr>
          <w:p>
            <w:pPr>
              <w:spacing w:after="40"/>
            </w:pPr>
            <w:r>
              <w:rPr>
                <w:rFonts w:ascii="Noto Sans" w:hAnsi="Noto Sans" w:eastAsia="Arial Unicode MS" w:cs="Noto Sans"/>
                <w:sz w:val="17"/>
              </w:rPr>
              <w:t>Usunięcie lub ukrycie indywidualnych, tematycznych lub publicznych rekordów wyświetlania na oficjalnej stronie internetowej/forum/oficjalnej społeczności nie stanowi usunięcia konta gry.</w:t>
            </w:r>
          </w:p>
        </w:tc>
      </w:tr>
      <w:tr>
        <w:trPr>
          <w:cantSplit/>
        </w:trPr>
        <w:tc>
          <w:tcPr>
            <w:tcW w:type="dxa" w:w="4873"/>
            <w:vAlign w:val="center"/>
          </w:tcPr>
          <w:p>
            <w:pPr>
              <w:spacing w:after="40"/>
            </w:pPr>
            <w:r>
              <w:rPr>
                <w:rFonts w:ascii="Noto Sans" w:hAnsi="Noto Sans" w:eastAsia="Arial Unicode MS" w:cs="Noto Sans"/>
                <w:sz w:val="17"/>
              </w:rPr>
              <w:t>Przejęcie odpowiedzialności prawnej</w:t>
            </w:r>
          </w:p>
        </w:tc>
        <w:tc>
          <w:tcPr>
            <w:tcW w:type="dxa" w:w="4873"/>
            <w:vAlign w:val="center"/>
          </w:tcPr>
          <w:p>
            <w:pPr>
              <w:spacing w:after="40"/>
            </w:pPr>
            <w:r>
              <w:rPr>
                <w:rFonts w:ascii="Noto Sans" w:hAnsi="Noto Sans" w:eastAsia="Arial Unicode MS" w:cs="Noto Sans"/>
                <w:sz w:val="17"/>
              </w:rPr>
              <w:t>Gdy działania budzą podejrzenie łamania prawa, naruszania praw lub powodowania szkód w świecie rzeczywistym, operator może zgodnie z prawem zatrzymać dowody, zawiesić odpowiednie usługi, zgłosić to właściwym organom lub współpracować przy śledztwie; zaangażowana strona musi ponosić odpowiednią odpowiedzialność cywilną, administracyjną lub karną zgodnie z prawem.</w:t>
            </w:r>
          </w:p>
        </w:tc>
      </w:tr>
    </w:tbl>
    <w:p>
      <w:pPr>
        <w:spacing w:after="40"/>
      </w:pPr>
    </w:p>
    <w:tbl>
      <w:tblPr>
        <w:tblStyle w:val="TableGrid"/>
        <w:tblW w:type="auto" w:w="0"/>
        <w:tblLayout w:type="autofit"/>
        <w:tblLook w:firstColumn="1" w:firstRow="1" w:lastColumn="0" w:lastRow="0" w:noHBand="0" w:noVBand="1" w:val="04A0"/>
      </w:tblPr>
      <w:tblGrid>
        <w:gridCol w:w="9746"/>
      </w:tblGrid>
      <w:tr>
        <w:trPr>
          <w:cantSplit/>
        </w:trPr>
        <w:tc>
          <w:tcPr>
            <w:tcW w:type="dxa" w:w="9746"/>
            <w:vAlign w:val="center"/>
          </w:tcPr>
          <w:p>
            <w:pPr>
              <w:spacing w:after="40"/>
            </w:pPr>
            <w:r>
              <w:rPr>
                <w:rFonts w:ascii="Noto Sans" w:hAnsi="Noto Sans" w:eastAsia="Arial Unicode MS" w:cs="Noto Sans"/>
                <w:sz w:val="17"/>
              </w:rPr>
              <w:t>W sprawie „braku mechanizmu zawieszania kont”</w:t>
              <w:br/>
              <w:t>Regulamin DAWNBLOOM nie przewiduje „trwałego zawieszenia konta” jako środka karnego. Jeśli użytkownik osiągnie najwyższy poziom kary, zasada będzie brzmieć: „trwała izolacja (więzienie) + konieczne ograniczenia aktywów/zarządzania/funkcji społecznych”. Jednakże jeśli wymogi prawne, dyrektywy regulacyjne, zasady platform płatniczych lub dystrybucyjnych, lub rozkazy sądów lub władz administracyjnych nakazują zaprzestanie świadczenia usług, operator będzie przestrzegać przepisów zgodnie z prawem.</w:t>
            </w:r>
          </w:p>
        </w:tc>
      </w:tr>
    </w:tbl>
    <w:p>
      <w:pPr>
        <w:spacing w:after="40"/>
      </w:pPr>
    </w:p>
    <w:p>
      <w:pPr>
        <w:pStyle w:val="Heading1"/>
        <w:keepLines w:val="0"/>
      </w:pPr>
      <w:r>
        <w:rPr>
          <w:rFonts w:ascii="Noto Sans" w:hAnsi="Noto Sans" w:eastAsia="Arial Unicode MS" w:cs="Noto Sans"/>
          <w:b w:val="0"/>
        </w:rPr>
        <w:t>Rozdział Sześć: Rodzaje naruszeń i typowe warunki kar</w:t>
      </w:r>
    </w:p>
    <w:p>
      <w:pPr>
        <w:keepLines w:val="0"/>
      </w:pPr>
      <w:r>
        <w:rPr>
          <w:rFonts w:ascii="Noto Sans" w:hAnsi="Noto Sans" w:eastAsia="Arial Unicode MS" w:cs="Noto Sans"/>
          <w:b w:val="0"/>
        </w:rPr>
        <w:t>Poniższa tabela ilustruje powszechne kierunki postępowania i nie jest mechanicznie ustalonym przewodnikiem po karaniu. Operator dokona kompleksowej oceny sprawy na podstawie dowodów, wpływu, zysku, intencji subiektywnych, recydywy i poziomu współpracy, a w razie potrzeby może nałożyć kumulatywne kary.</w:t>
      </w:r>
    </w:p>
    <w:tbl>
      <w:tblPr>
        <w:tblStyle w:val="TableGrid"/>
        <w:tblW w:type="auto" w:w="0"/>
        <w:tblLayout w:type="autofit"/>
        <w:tblLook w:firstColumn="1" w:firstRow="1" w:lastColumn="0" w:lastRow="0" w:noHBand="0" w:noVBand="1" w:val="04A0"/>
      </w:tblPr>
      <w:tblGrid>
        <w:gridCol w:w="3249"/>
        <w:gridCol w:w="3249"/>
        <w:gridCol w:w="3249"/>
      </w:tblGrid>
      <w:tr>
        <w:trPr>
          <w:cantSplit/>
          <w:tblHeader/>
        </w:trPr>
        <w:tc>
          <w:tcPr>
            <w:tcW w:type="dxa" w:w="3249"/>
            <w:vAlign w:val="center"/>
            <w:shd w:fill="DCE8F7"/>
          </w:tcPr>
          <w:p>
            <w:pPr>
              <w:keepNext/>
              <w:spacing w:after="40"/>
            </w:pPr>
            <w:r>
              <w:rPr>
                <w:rFonts w:ascii="Noto Sans" w:hAnsi="Noto Sans" w:eastAsia="Arial Unicode MS" w:cs="Noto Sans"/>
                <w:b/>
                <w:sz w:val="17"/>
              </w:rPr>
              <w:t>Rodzaje naruszeń</w:t>
            </w:r>
          </w:p>
        </w:tc>
        <w:tc>
          <w:tcPr>
            <w:tcW w:type="dxa" w:w="3249"/>
            <w:vAlign w:val="center"/>
            <w:shd w:fill="DCE8F7"/>
          </w:tcPr>
          <w:p>
            <w:pPr>
              <w:keepNext/>
              <w:spacing w:after="40"/>
            </w:pPr>
            <w:r>
              <w:rPr>
                <w:rFonts w:ascii="Noto Sans" w:hAnsi="Noto Sans" w:eastAsia="Arial Unicode MS" w:cs="Noto Sans"/>
                <w:b/>
                <w:sz w:val="17"/>
              </w:rPr>
              <w:t>Powszechne procedury postępowania</w:t>
            </w:r>
          </w:p>
        </w:tc>
        <w:tc>
          <w:tcPr>
            <w:tcW w:type="dxa" w:w="3249"/>
            <w:vAlign w:val="center"/>
            <w:shd w:fill="DCE8F7"/>
          </w:tcPr>
          <w:p>
            <w:pPr>
              <w:keepNext/>
              <w:spacing w:after="40"/>
            </w:pPr>
            <w:r>
              <w:rPr>
                <w:rFonts w:ascii="Noto Sans" w:hAnsi="Noto Sans" w:eastAsia="Arial Unicode MS" w:cs="Noto Sans"/>
                <w:b/>
                <w:sz w:val="17"/>
              </w:rPr>
              <w:t>Uwagi dotyczące zaostrzenia lub okoliczności szczególnych</w:t>
            </w:r>
          </w:p>
        </w:tc>
      </w:tr>
      <w:tr>
        <w:trPr>
          <w:cantSplit/>
        </w:trPr>
        <w:tc>
          <w:tcPr>
            <w:tcW w:type="dxa" w:w="3249"/>
            <w:vAlign w:val="center"/>
          </w:tcPr>
          <w:p>
            <w:pPr>
              <w:spacing w:after="40"/>
            </w:pPr>
            <w:r>
              <w:rPr>
                <w:rFonts w:ascii="Noto Sans" w:hAnsi="Noto Sans" w:eastAsia="Arial Unicode MS" w:cs="Noto Sans"/>
                <w:sz w:val="17"/>
              </w:rPr>
              <w:t>Spamowanie na niskim poziomie, okazjonalnie nieodpowiednie uwagi, drobne nękanie</w:t>
            </w:r>
          </w:p>
        </w:tc>
        <w:tc>
          <w:tcPr>
            <w:tcW w:type="dxa" w:w="3249"/>
            <w:vAlign w:val="center"/>
          </w:tcPr>
          <w:p>
            <w:pPr>
              <w:spacing w:after="40"/>
            </w:pPr>
            <w:r>
              <w:rPr>
                <w:rFonts w:ascii="Noto Sans" w:hAnsi="Noto Sans" w:eastAsia="Arial Unicode MS" w:cs="Noto Sans"/>
                <w:sz w:val="17"/>
              </w:rPr>
              <w:t>Ostrzeżenie; tymowa cisza; wymuszony tryb offline, jeśli to konieczne</w:t>
            </w:r>
          </w:p>
        </w:tc>
        <w:tc>
          <w:tcPr>
            <w:tcW w:type="dxa" w:w="3249"/>
            <w:vAlign w:val="center"/>
          </w:tcPr>
          <w:p>
            <w:pPr>
              <w:spacing w:after="40"/>
            </w:pPr>
            <w:r>
              <w:rPr>
                <w:rFonts w:ascii="Noto Sans" w:hAnsi="Noto Sans" w:eastAsia="Arial Unicode MS" w:cs="Noto Sans"/>
                <w:sz w:val="17"/>
              </w:rPr>
              <w:t>Jeśli zachowanie trwa mimo powtarzających się ostrzeżeń, dotyczy długoterminowego nękania konkretnych graczy lub omija ograniczenia ciszy, kary mogą zostać zaostrzone.</w:t>
            </w:r>
          </w:p>
        </w:tc>
      </w:tr>
      <w:tr>
        <w:trPr>
          <w:cantSplit/>
        </w:trPr>
        <w:tc>
          <w:tcPr>
            <w:tcW w:type="dxa" w:w="3249"/>
            <w:vAlign w:val="center"/>
          </w:tcPr>
          <w:p>
            <w:pPr>
              <w:spacing w:after="40"/>
            </w:pPr>
            <w:r>
              <w:rPr>
                <w:rFonts w:ascii="Noto Sans" w:hAnsi="Noto Sans" w:eastAsia="Arial Unicode MS" w:cs="Noto Sans"/>
                <w:sz w:val="17"/>
              </w:rPr>
              <w:t>Przyjmowanie postaci oficjalnego personelu, obsługi klienta lub GM bez powodowania strat finansowych</w:t>
            </w:r>
          </w:p>
        </w:tc>
        <w:tc>
          <w:tcPr>
            <w:tcW w:type="dxa" w:w="3249"/>
            <w:vAlign w:val="center"/>
          </w:tcPr>
          <w:p>
            <w:pPr>
              <w:spacing w:after="40"/>
            </w:pPr>
            <w:r>
              <w:rPr>
                <w:rFonts w:ascii="Noto Sans" w:hAnsi="Noto Sans" w:eastAsia="Arial Unicode MS" w:cs="Noto Sans"/>
                <w:sz w:val="17"/>
              </w:rPr>
              <w:t>Ostrzeżenie; milczenie; wymuszenie trybu offline; tymczasowa izolacja</w:t>
            </w:r>
          </w:p>
        </w:tc>
        <w:tc>
          <w:tcPr>
            <w:tcW w:type="dxa" w:w="3249"/>
            <w:vAlign w:val="center"/>
          </w:tcPr>
          <w:p>
            <w:pPr>
              <w:spacing w:after="40"/>
            </w:pPr>
            <w:r>
              <w:rPr>
                <w:rFonts w:ascii="Noto Sans" w:hAnsi="Noto Sans" w:eastAsia="Arial Unicode MS" w:cs="Noto Sans"/>
                <w:sz w:val="17"/>
              </w:rPr>
              <w:t>Jeśli użyto do uzyskania kont, kodów weryfikacyjnych, przedmiotów wirtualnych lub aktywów rzeczywistych, takie działanie będzie traktowane jako oszustwo i odpowiednio ukarane.</w:t>
            </w:r>
          </w:p>
        </w:tc>
      </w:tr>
      <w:tr>
        <w:trPr>
          <w:cantSplit/>
        </w:trPr>
        <w:tc>
          <w:tcPr>
            <w:tcW w:type="dxa" w:w="3249"/>
            <w:vAlign w:val="center"/>
          </w:tcPr>
          <w:p>
            <w:pPr>
              <w:spacing w:after="40"/>
            </w:pPr>
            <w:r>
              <w:rPr>
                <w:rFonts w:ascii="Noto Sans" w:hAnsi="Noto Sans" w:eastAsia="Arial Unicode MS" w:cs="Noto Sans"/>
                <w:sz w:val="17"/>
              </w:rPr>
              <w:t>Oszustwo, podszywanie się pod znajomych, fałszywe transakcje, złośliwa manipulacja</w:t>
            </w:r>
          </w:p>
        </w:tc>
        <w:tc>
          <w:tcPr>
            <w:tcW w:type="dxa" w:w="3249"/>
            <w:vAlign w:val="center"/>
          </w:tcPr>
          <w:p>
            <w:pPr>
              <w:spacing w:after="40"/>
            </w:pPr>
            <w:r>
              <w:rPr>
                <w:rFonts w:ascii="Noto Sans" w:hAnsi="Noto Sans" w:eastAsia="Arial Unicode MS" w:cs="Noto Sans"/>
                <w:sz w:val="17"/>
              </w:rPr>
              <w:t>Pobieranie przedmiotów wirtualnych; odliczanie wartości; ograniczanie transakcji; tymczasowa izolacja; w ciężkich przypadkach stała izolacja</w:t>
            </w:r>
          </w:p>
        </w:tc>
        <w:tc>
          <w:tcPr>
            <w:tcW w:type="dxa" w:w="3249"/>
            <w:vAlign w:val="center"/>
          </w:tcPr>
          <w:p>
            <w:pPr>
              <w:spacing w:after="40"/>
            </w:pPr>
            <w:r>
              <w:rPr>
                <w:rFonts w:ascii="Noto Sans" w:hAnsi="Noto Sans" w:eastAsia="Arial Unicode MS" w:cs="Noto Sans"/>
                <w:sz w:val="17"/>
              </w:rPr>
              <w:t>Może przywrócić lub cofnąć śledzone transakcje; gdzie zaangażowane są aktywa rzeczywiste lub występują nielegalne działania, zostanie pociągnięta odpowiedzialność prawna.</w:t>
            </w:r>
          </w:p>
        </w:tc>
      </w:tr>
      <w:tr>
        <w:trPr>
          <w:cantSplit/>
        </w:trPr>
        <w:tc>
          <w:tcPr>
            <w:tcW w:type="dxa" w:w="3249"/>
            <w:vAlign w:val="center"/>
          </w:tcPr>
          <w:p>
            <w:pPr>
              <w:spacing w:after="40"/>
            </w:pPr>
            <w:r>
              <w:rPr>
                <w:rFonts w:ascii="Noto Sans" w:hAnsi="Noto Sans" w:eastAsia="Arial Unicode MS" w:cs="Noto Sans"/>
                <w:sz w:val="17"/>
              </w:rPr>
              <w:t>Narzędzia do oszukiwania, skrypty do oszukiwania, modyfikacja klienta, złośliwa automatyzacja</w:t>
            </w:r>
          </w:p>
        </w:tc>
        <w:tc>
          <w:tcPr>
            <w:tcW w:type="dxa" w:w="3249"/>
            <w:vAlign w:val="center"/>
          </w:tcPr>
          <w:p>
            <w:pPr>
              <w:spacing w:after="40"/>
            </w:pPr>
            <w:r>
              <w:rPr>
                <w:rFonts w:ascii="Noto Sans" w:hAnsi="Noto Sans" w:eastAsia="Arial Unicode MS" w:cs="Noto Sans"/>
                <w:sz w:val="17"/>
              </w:rPr>
              <w:t>Wymuszenie trybu offline; tymczasowa izolacja; ograniczony handel; zamrożenie lub konfiskata przedmiotów wirtualnych; odliczanie wartości</w:t>
            </w:r>
          </w:p>
        </w:tc>
        <w:tc>
          <w:tcPr>
            <w:tcW w:type="dxa" w:w="3249"/>
            <w:vAlign w:val="center"/>
          </w:tcPr>
          <w:p>
            <w:pPr>
              <w:spacing w:after="40"/>
            </w:pPr>
            <w:r>
              <w:rPr>
                <w:rFonts w:ascii="Noto Sans" w:hAnsi="Noto Sans" w:eastAsia="Arial Unicode MS" w:cs="Noto Sans"/>
                <w:sz w:val="17"/>
              </w:rPr>
              <w:t>Organizowanie, produkcja, sprzedaż lub rozpowszechnianie narzędzi do oszukiwania, które mają szeroki wpływ, mogą skutkować stałą izolacją, a odpowiedzialność prawna zostanie pociągnięta.</w:t>
            </w:r>
          </w:p>
        </w:tc>
      </w:tr>
      <w:tr>
        <w:trPr>
          <w:cantSplit/>
        </w:trPr>
        <w:tc>
          <w:tcPr>
            <w:tcW w:type="dxa" w:w="3249"/>
            <w:vAlign w:val="center"/>
          </w:tcPr>
          <w:p>
            <w:pPr>
              <w:spacing w:after="40"/>
            </w:pPr>
            <w:r>
              <w:rPr>
                <w:rFonts w:ascii="Noto Sans" w:hAnsi="Noto Sans" w:eastAsia="Arial Unicode MS" w:cs="Noto Sans"/>
                <w:sz w:val="17"/>
              </w:rPr>
              <w:t>Wykorzystywanie błędów, kopiowanie przedmiotów lub abnormalne zbieranie przedmiotów</w:t>
            </w:r>
          </w:p>
        </w:tc>
        <w:tc>
          <w:tcPr>
            <w:tcW w:type="dxa" w:w="3249"/>
            <w:vAlign w:val="center"/>
          </w:tcPr>
          <w:p>
            <w:pPr>
              <w:spacing w:after="40"/>
            </w:pPr>
            <w:r>
              <w:rPr>
                <w:rFonts w:ascii="Noto Sans" w:hAnsi="Noto Sans" w:eastAsia="Arial Unicode MS" w:cs="Noto Sans"/>
                <w:sz w:val="17"/>
              </w:rPr>
              <w:t>Zamrożenie przedmiotów wirtualnych; odzyskanie przedmiotów wirtualnych; odliczanie wartości; ograniczenie handlu; tymczasowa izolacja</w:t>
            </w:r>
          </w:p>
        </w:tc>
        <w:tc>
          <w:tcPr>
            <w:tcW w:type="dxa" w:w="3249"/>
            <w:vAlign w:val="center"/>
          </w:tcPr>
          <w:p>
            <w:pPr>
              <w:spacing w:after="40"/>
            </w:pPr>
            <w:r>
              <w:rPr>
                <w:rFonts w:ascii="Noto Sans" w:hAnsi="Noto Sans" w:eastAsia="Arial Unicode MS" w:cs="Noto Sans"/>
                <w:sz w:val="17"/>
              </w:rPr>
              <w:t>Masowe wykorzystywanie ukrywanie nieprawidłowych zysków, używanie wielu kont w celu dystrybucji ryzyka, rozpowszechnianie metod eksploatacji lub ponowne popełnienie przestępstwa może skutkować stałą izolacją.</w:t>
            </w:r>
          </w:p>
        </w:tc>
      </w:tr>
      <w:tr>
        <w:trPr>
          <w:cantSplit/>
        </w:trPr>
        <w:tc>
          <w:tcPr>
            <w:tcW w:type="dxa" w:w="3249"/>
            <w:vAlign w:val="center"/>
          </w:tcPr>
          <w:p>
            <w:pPr>
              <w:spacing w:after="40"/>
            </w:pPr>
            <w:r>
              <w:rPr>
                <w:rFonts w:ascii="Noto Sans" w:hAnsi="Noto Sans" w:eastAsia="Arial Unicode MS" w:cs="Noto Sans"/>
                <w:sz w:val="17"/>
              </w:rPr>
              <w:t>Pozyskiwanie aktywów z wyraźnie abnormalnych lub nielegalnych źródeł i pomoc w ich transferze</w:t>
            </w:r>
          </w:p>
        </w:tc>
        <w:tc>
          <w:tcPr>
            <w:tcW w:type="dxa" w:w="3249"/>
            <w:vAlign w:val="center"/>
          </w:tcPr>
          <w:p>
            <w:pPr>
              <w:spacing w:after="40"/>
            </w:pPr>
            <w:r>
              <w:rPr>
                <w:rFonts w:ascii="Noto Sans" w:hAnsi="Noto Sans" w:eastAsia="Arial Unicode MS" w:cs="Noto Sans"/>
                <w:sz w:val="17"/>
              </w:rPr>
              <w:t>Zamrożenie lub konfiskata powiązanych przedmiotów wirtualnych; ograniczenie handlu; wydanie ostrzeżenia lub tymczasowa izolacja</w:t>
            </w:r>
          </w:p>
        </w:tc>
        <w:tc>
          <w:tcPr>
            <w:tcW w:type="dxa" w:w="3249"/>
            <w:vAlign w:val="center"/>
          </w:tcPr>
          <w:p>
            <w:pPr>
              <w:spacing w:after="40"/>
            </w:pPr>
            <w:r>
              <w:rPr>
                <w:rFonts w:ascii="Noto Sans" w:hAnsi="Noto Sans" w:eastAsia="Arial Unicode MS" w:cs="Noto Sans"/>
                <w:sz w:val="17"/>
              </w:rPr>
              <w:t>Czy użytkownik był świadomy, czy ceny transakcyjne były abnormalne, czy dochodziło do wielokrotnej pośrednictwa, oraz czy współpraca z badaniami wpłynie na karę.</w:t>
            </w:r>
          </w:p>
        </w:tc>
      </w:tr>
      <w:tr>
        <w:trPr>
          <w:cantSplit/>
        </w:trPr>
        <w:tc>
          <w:tcPr>
            <w:tcW w:type="dxa" w:w="3249"/>
            <w:vAlign w:val="center"/>
          </w:tcPr>
          <w:p>
            <w:pPr>
              <w:spacing w:after="40"/>
            </w:pPr>
            <w:r>
              <w:rPr>
                <w:rFonts w:ascii="Noto Sans" w:hAnsi="Noto Sans" w:eastAsia="Arial Unicode MS" w:cs="Noto Sans"/>
                <w:sz w:val="17"/>
              </w:rPr>
              <w:t>Złośliwe żądania zwrotu, nieautoryzowane rozliczenia, oszustwo płatnicze</w:t>
            </w:r>
          </w:p>
        </w:tc>
        <w:tc>
          <w:tcPr>
            <w:tcW w:type="dxa" w:w="3249"/>
            <w:vAlign w:val="center"/>
          </w:tcPr>
          <w:p>
            <w:pPr>
              <w:spacing w:after="40"/>
            </w:pPr>
            <w:r>
              <w:rPr>
                <w:rFonts w:ascii="Noto Sans" w:hAnsi="Noto Sans" w:eastAsia="Arial Unicode MS" w:cs="Noto Sans"/>
                <w:sz w:val="17"/>
              </w:rPr>
              <w:t>Zamrożenie/zatrzymanie odpowiadających aktywów; odliczanie wartości; ograniczenie transakcji; tymczasowa izolacja</w:t>
            </w:r>
          </w:p>
        </w:tc>
        <w:tc>
          <w:tcPr>
            <w:tcW w:type="dxa" w:w="3249"/>
            <w:vAlign w:val="center"/>
          </w:tcPr>
          <w:p>
            <w:pPr>
              <w:spacing w:after="40"/>
            </w:pPr>
            <w:r>
              <w:rPr>
                <w:rFonts w:ascii="Noto Sans" w:hAnsi="Noto Sans" w:eastAsia="Arial Unicode MS" w:cs="Noto Sans"/>
                <w:sz w:val="17"/>
              </w:rPr>
              <w:t>Gdy skala jest duża, zorganizowana lub wiąże się z nielegalnymi działaniami, może zostać wprowadzona stała izolacja, a odpowiedzialność prawna zostanie pociągnięta.</w:t>
            </w:r>
          </w:p>
        </w:tc>
      </w:tr>
      <w:tr>
        <w:trPr>
          <w:cantSplit/>
        </w:trPr>
        <w:tc>
          <w:tcPr>
            <w:tcW w:type="dxa" w:w="3249"/>
            <w:vAlign w:val="center"/>
          </w:tcPr>
          <w:p>
            <w:pPr>
              <w:spacing w:after="40"/>
            </w:pPr>
            <w:r>
              <w:rPr>
                <w:rFonts w:ascii="Noto Sans" w:hAnsi="Noto Sans" w:eastAsia="Arial Unicode MS" w:cs="Noto Sans"/>
                <w:sz w:val="17"/>
              </w:rPr>
              <w:t>Publikowanie złośliwych linków, złośliwego oprogramowania skradzionych kont, wtyczek do oszukiwania, reklam lub oszukańczych reklam</w:t>
            </w:r>
          </w:p>
        </w:tc>
        <w:tc>
          <w:tcPr>
            <w:tcW w:type="dxa" w:w="3249"/>
            <w:vAlign w:val="center"/>
          </w:tcPr>
          <w:p>
            <w:pPr>
              <w:spacing w:after="40"/>
            </w:pPr>
            <w:r>
              <w:rPr>
                <w:rFonts w:ascii="Noto Sans" w:hAnsi="Noto Sans" w:eastAsia="Arial Unicode MS" w:cs="Noto Sans"/>
                <w:sz w:val="17"/>
              </w:rPr>
              <w:t>Wyciszenie; usunięcie postów; usunięcie profili; wymuszenie trybu offline; tymczasowa/trwała izolacja</w:t>
            </w:r>
          </w:p>
        </w:tc>
        <w:tc>
          <w:tcPr>
            <w:tcW w:type="dxa" w:w="3249"/>
            <w:vAlign w:val="center"/>
          </w:tcPr>
          <w:p>
            <w:pPr>
              <w:spacing w:after="40"/>
            </w:pPr>
            <w:r>
              <w:rPr>
                <w:rFonts w:ascii="Noto Sans" w:hAnsi="Noto Sans" w:eastAsia="Arial Unicode MS" w:cs="Noto Sans"/>
                <w:sz w:val="17"/>
              </w:rPr>
              <w:t>W przypadku kradzieży konta, utraty mienia lub szerokiego rozpowszechniania kary zostaną zaostrzone, a prawo do dochodzenia roszczeń zostanie zastrzeżone.</w:t>
            </w:r>
          </w:p>
        </w:tc>
      </w:tr>
      <w:tr>
        <w:trPr>
          <w:cantSplit/>
        </w:trPr>
        <w:tc>
          <w:tcPr>
            <w:tcW w:type="dxa" w:w="3249"/>
            <w:vAlign w:val="center"/>
          </w:tcPr>
          <w:p>
            <w:pPr>
              <w:spacing w:after="40"/>
            </w:pPr>
            <w:r>
              <w:rPr>
                <w:rFonts w:ascii="Noto Sans" w:hAnsi="Noto Sans" w:eastAsia="Arial Unicode MS" w:cs="Noto Sans"/>
                <w:sz w:val="17"/>
              </w:rPr>
              <w:t>Ujawnianie prywatnego życia osób trzecich, osobiste groźby lub poważne prześladowania</w:t>
            </w:r>
          </w:p>
        </w:tc>
        <w:tc>
          <w:tcPr>
            <w:tcW w:type="dxa" w:w="3249"/>
            <w:vAlign w:val="center"/>
          </w:tcPr>
          <w:p>
            <w:pPr>
              <w:spacing w:after="40"/>
            </w:pPr>
            <w:r>
              <w:rPr>
                <w:rFonts w:ascii="Noto Sans" w:hAnsi="Noto Sans" w:eastAsia="Arial Unicode MS" w:cs="Noto Sans"/>
                <w:sz w:val="17"/>
              </w:rPr>
              <w:t>Wyciszenie; wymuszenie trybu offline; tymczasowa/trwała izolacja; usunięcie powiązanej treści</w:t>
            </w:r>
          </w:p>
        </w:tc>
        <w:tc>
          <w:tcPr>
            <w:tcW w:type="dxa" w:w="3249"/>
            <w:vAlign w:val="center"/>
          </w:tcPr>
          <w:p>
            <w:pPr>
              <w:spacing w:after="40"/>
            </w:pPr>
            <w:r>
              <w:rPr>
                <w:rFonts w:ascii="Noto Sans" w:hAnsi="Noto Sans" w:eastAsia="Arial Unicode MS" w:cs="Noto Sans"/>
                <w:sz w:val="17"/>
              </w:rPr>
              <w:t>Odpowiedzialność prawna będzie miała zastosowanie w przypadkach związanych z ryzykiem dla bezpieczeństwa w świecie rzeczywistym, szantażem, groźbami przemocy lub nielegalnym ujawnianiem.</w:t>
            </w:r>
          </w:p>
        </w:tc>
      </w:tr>
      <w:tr>
        <w:trPr>
          <w:cantSplit/>
        </w:trPr>
        <w:tc>
          <w:tcPr>
            <w:tcW w:type="dxa" w:w="3249"/>
            <w:vAlign w:val="center"/>
          </w:tcPr>
          <w:p>
            <w:pPr>
              <w:spacing w:after="40"/>
            </w:pPr>
            <w:r>
              <w:rPr>
                <w:rFonts w:ascii="Noto Sans" w:hAnsi="Noto Sans" w:eastAsia="Arial Unicode MS" w:cs="Noto Sans"/>
                <w:sz w:val="17"/>
              </w:rPr>
              <w:t>Naruszenie nazwy gracza</w:t>
            </w:r>
          </w:p>
        </w:tc>
        <w:tc>
          <w:tcPr>
            <w:tcW w:type="dxa" w:w="3249"/>
            <w:vAlign w:val="center"/>
          </w:tcPr>
          <w:p>
            <w:pPr>
              <w:spacing w:after="40"/>
            </w:pPr>
            <w:r>
              <w:rPr>
                <w:rFonts w:ascii="Noto Sans" w:hAnsi="Noto Sans" w:eastAsia="Arial Unicode MS" w:cs="Noto Sans"/>
                <w:sz w:val="17"/>
              </w:rPr>
              <w:t>Ostrzeżenie; zmiana nazwy</w:t>
            </w:r>
          </w:p>
        </w:tc>
        <w:tc>
          <w:tcPr>
            <w:tcW w:type="dxa" w:w="3249"/>
            <w:vAlign w:val="center"/>
          </w:tcPr>
          <w:p>
            <w:pPr>
              <w:spacing w:after="40"/>
            </w:pPr>
            <w:r>
              <w:rPr>
                <w:rFonts w:ascii="Noto Sans" w:hAnsi="Noto Sans" w:eastAsia="Arial Unicode MS" w:cs="Noto Sans"/>
                <w:sz w:val="17"/>
              </w:rPr>
              <w:t>W przypadkach dotyczących podszywania się pod oficjalne kanały, oszustw lub uporczywych prześladowań mogą zostać nałożone dodatkowe środki, takie jak zakaz mówienia lub izolacja.</w:t>
            </w:r>
          </w:p>
        </w:tc>
      </w:tr>
      <w:tr>
        <w:trPr>
          <w:cantSplit/>
        </w:trPr>
        <w:tc>
          <w:tcPr>
            <w:tcW w:type="dxa" w:w="3249"/>
            <w:vAlign w:val="center"/>
          </w:tcPr>
          <w:p>
            <w:pPr>
              <w:spacing w:after="40"/>
            </w:pPr>
            <w:r>
              <w:rPr>
                <w:rFonts w:ascii="Noto Sans" w:hAnsi="Noto Sans" w:eastAsia="Arial Unicode MS" w:cs="Noto Sans"/>
                <w:sz w:val="17"/>
              </w:rPr>
              <w:t>Naruszenie nazwy rodziny</w:t>
            </w:r>
          </w:p>
        </w:tc>
        <w:tc>
          <w:tcPr>
            <w:tcW w:type="dxa" w:w="3249"/>
            <w:vAlign w:val="center"/>
          </w:tcPr>
          <w:p>
            <w:pPr>
              <w:spacing w:after="40"/>
            </w:pPr>
            <w:r>
              <w:rPr>
                <w:rFonts w:ascii="Noto Sans" w:hAnsi="Noto Sans" w:eastAsia="Arial Unicode MS" w:cs="Noto Sans"/>
                <w:sz w:val="17"/>
              </w:rPr>
              <w:t>Zmiana nazwy klanu; ostrzeżenie wydane odpowiednim administratorom</w:t>
            </w:r>
          </w:p>
        </w:tc>
        <w:tc>
          <w:tcPr>
            <w:tcW w:type="dxa" w:w="3249"/>
            <w:vAlign w:val="center"/>
          </w:tcPr>
          <w:p>
            <w:pPr>
              <w:spacing w:after="40"/>
            </w:pPr>
            <w:r>
              <w:rPr>
                <w:rFonts w:ascii="Noto Sans" w:hAnsi="Noto Sans" w:eastAsia="Arial Unicode MS" w:cs="Noto Sans"/>
                <w:sz w:val="17"/>
              </w:rPr>
              <w:t>W przypadku wielokrotnego odmawiania poprawienia naruszeń lub gdy rodzina działa z zamiarem poważnych naruszeń, rodzina może zostać rozwiązana.</w:t>
            </w:r>
          </w:p>
        </w:tc>
      </w:tr>
      <w:tr>
        <w:trPr>
          <w:cantSplit/>
        </w:trPr>
        <w:tc>
          <w:tcPr>
            <w:tcW w:type="dxa" w:w="3249"/>
            <w:vAlign w:val="center"/>
          </w:tcPr>
          <w:p>
            <w:pPr>
              <w:spacing w:after="40"/>
            </w:pPr>
            <w:r>
              <w:rPr>
                <w:rFonts w:ascii="Noto Sans" w:hAnsi="Noto Sans" w:eastAsia="Arial Unicode MS" w:cs="Noto Sans"/>
                <w:sz w:val="17"/>
              </w:rPr>
              <w:t>Udział klanu w zorganizowanych narzędziach do oszukiwania, oszustwach, nietypowych transakcjach lub działaniach czarnego rynku</w:t>
            </w:r>
          </w:p>
        </w:tc>
        <w:tc>
          <w:tcPr>
            <w:tcW w:type="dxa" w:w="3249"/>
            <w:vAlign w:val="center"/>
          </w:tcPr>
          <w:p>
            <w:pPr>
              <w:spacing w:after="40"/>
            </w:pPr>
            <w:r>
              <w:rPr>
                <w:rFonts w:ascii="Noto Sans" w:hAnsi="Noto Sans" w:eastAsia="Arial Unicode MS" w:cs="Noto Sans"/>
                <w:sz w:val="17"/>
              </w:rPr>
              <w:t>Rozwiązanie rodziny; ograniczenie transakcji, zamrożenie/zajęcie aktywów i tymczasowa/trwała izolacja członków</w:t>
            </w:r>
          </w:p>
        </w:tc>
        <w:tc>
          <w:tcPr>
            <w:tcW w:type="dxa" w:w="3249"/>
            <w:vAlign w:val="center"/>
          </w:tcPr>
          <w:p>
            <w:pPr>
              <w:spacing w:after="40"/>
            </w:pPr>
            <w:r>
              <w:rPr>
                <w:rFonts w:ascii="Noto Sans" w:hAnsi="Noto Sans" w:eastAsia="Arial Unicode MS" w:cs="Noto Sans"/>
                <w:sz w:val="17"/>
              </w:rPr>
              <w:t>Kary będą określane w oparciu o rzeczywisty poziom udziału każdego członka, a automatyczne kary nie będą nakładane wyłącznie z powodu przynależności do rodziny.</w:t>
            </w:r>
          </w:p>
        </w:tc>
      </w:tr>
      <w:tr>
        <w:trPr>
          <w:cantSplit/>
        </w:trPr>
        <w:tc>
          <w:tcPr>
            <w:tcW w:type="dxa" w:w="3249"/>
            <w:vAlign w:val="center"/>
          </w:tcPr>
          <w:p>
            <w:pPr>
              <w:spacing w:after="40"/>
            </w:pPr>
            <w:r>
              <w:rPr>
                <w:rFonts w:ascii="Noto Sans" w:hAnsi="Noto Sans" w:eastAsia="Arial Unicode MS" w:cs="Noto Sans"/>
                <w:sz w:val="17"/>
              </w:rPr>
              <w:t>Naruszenia w treści oficjalnej strony internetowej lub forum</w:t>
            </w:r>
          </w:p>
        </w:tc>
        <w:tc>
          <w:tcPr>
            <w:tcW w:type="dxa" w:w="3249"/>
            <w:vAlign w:val="center"/>
          </w:tcPr>
          <w:p>
            <w:pPr>
              <w:spacing w:after="40"/>
            </w:pPr>
            <w:r>
              <w:rPr>
                <w:rFonts w:ascii="Noto Sans" w:hAnsi="Noto Sans" w:eastAsia="Arial Unicode MS" w:cs="Noto Sans"/>
                <w:sz w:val="17"/>
              </w:rPr>
              <w:t>Usunięcie postów na forum; wydanie ostrzeżenia; w niezbędnych przypadkach, wyciszenie lub usunięcie archiwum profilu użytkownika</w:t>
            </w:r>
          </w:p>
        </w:tc>
        <w:tc>
          <w:tcPr>
            <w:tcW w:type="dxa" w:w="3249"/>
            <w:vAlign w:val="center"/>
          </w:tcPr>
          <w:p>
            <w:pPr>
              <w:spacing w:after="40"/>
            </w:pPr>
            <w:r>
              <w:rPr>
                <w:rFonts w:ascii="Noto Sans" w:hAnsi="Noto Sans" w:eastAsia="Arial Unicode MS" w:cs="Noto Sans"/>
                <w:sz w:val="17"/>
              </w:rPr>
              <w:t>Jeśli chodzi o bezpieczeństwo konta w grze, oszustwa, nielegalne działania lub nadużycia ekonomiczne, konto w grze może być obsługiwane jednocześnie.</w:t>
            </w:r>
          </w:p>
        </w:tc>
      </w:tr>
      <w:tr>
        <w:trPr>
          <w:cantSplit/>
        </w:trPr>
        <w:tc>
          <w:tcPr>
            <w:tcW w:type="dxa" w:w="3249"/>
            <w:vAlign w:val="center"/>
          </w:tcPr>
          <w:p>
            <w:pPr>
              <w:spacing w:after="40"/>
            </w:pPr>
            <w:r>
              <w:rPr>
                <w:rFonts w:ascii="Noto Sans" w:hAnsi="Noto Sans" w:eastAsia="Arial Unicode MS" w:cs="Noto Sans"/>
                <w:sz w:val="17"/>
              </w:rPr>
              <w:t>Złośliwe atakowanie serwerów, nieautoryzowany dostęp, omijanie uprawnień lub zakłócanie działania usług</w:t>
            </w:r>
          </w:p>
        </w:tc>
        <w:tc>
          <w:tcPr>
            <w:tcW w:type="dxa" w:w="3249"/>
            <w:vAlign w:val="center"/>
          </w:tcPr>
          <w:p>
            <w:pPr>
              <w:spacing w:after="40"/>
            </w:pPr>
            <w:r>
              <w:rPr>
                <w:rFonts w:ascii="Noto Sans" w:hAnsi="Noto Sans" w:eastAsia="Arial Unicode MS" w:cs="Noto Sans"/>
                <w:sz w:val="17"/>
              </w:rPr>
              <w:t>Wymuszenie trybu offline; stała izolacja; zamrożenie powiązanych aktywów; poniesienie odpowiedzialności prawnej</w:t>
            </w:r>
          </w:p>
        </w:tc>
        <w:tc>
          <w:tcPr>
            <w:tcW w:type="dxa" w:w="3249"/>
            <w:vAlign w:val="center"/>
          </w:tcPr>
          <w:p>
            <w:pPr>
              <w:spacing w:after="40"/>
            </w:pPr>
            <w:r>
              <w:rPr>
                <w:rFonts w:ascii="Noto Sans" w:hAnsi="Noto Sans" w:eastAsia="Arial Unicode MS" w:cs="Noto Sans"/>
                <w:sz w:val="17"/>
              </w:rPr>
              <w:t>Izolacja techniczna i zabezpieczenie dowodów mogą zostać natychmiast wdrożone bez wcześniejszego ostrzeżenia.</w:t>
            </w:r>
          </w:p>
        </w:tc>
      </w:tr>
      <w:tr>
        <w:trPr>
          <w:cantSplit/>
        </w:trPr>
        <w:tc>
          <w:tcPr>
            <w:tcW w:type="dxa" w:w="3249"/>
            <w:vAlign w:val="center"/>
          </w:tcPr>
          <w:p>
            <w:pPr>
              <w:spacing w:after="40"/>
            </w:pPr>
            <w:r>
              <w:rPr>
                <w:rFonts w:ascii="Noto Sans" w:hAnsi="Noto Sans" w:eastAsia="Arial Unicode MS" w:cs="Noto Sans"/>
                <w:sz w:val="17"/>
              </w:rPr>
              <w:t>Złośliwe wprowadzanie w błąd śledztwa, fałszowanie dowodów lub wielokrotne składanie fałszywych zgłoszeń</w:t>
            </w:r>
          </w:p>
        </w:tc>
        <w:tc>
          <w:tcPr>
            <w:tcW w:type="dxa" w:w="3249"/>
            <w:vAlign w:val="center"/>
          </w:tcPr>
          <w:p>
            <w:pPr>
              <w:spacing w:after="40"/>
            </w:pPr>
            <w:r>
              <w:rPr>
                <w:rFonts w:ascii="Noto Sans" w:hAnsi="Noto Sans" w:eastAsia="Arial Unicode MS" w:cs="Noto Sans"/>
                <w:sz w:val="17"/>
              </w:rPr>
              <w:t>Ostrzeżenie; milczenie; tymczasowa izolacja; usunięcie postów na forum/profilu</w:t>
            </w:r>
          </w:p>
        </w:tc>
        <w:tc>
          <w:tcPr>
            <w:tcW w:type="dxa" w:w="3249"/>
            <w:vAlign w:val="center"/>
          </w:tcPr>
          <w:p>
            <w:pPr>
              <w:spacing w:after="40"/>
            </w:pPr>
            <w:r>
              <w:rPr>
                <w:rFonts w:ascii="Noto Sans" w:hAnsi="Noto Sans" w:eastAsia="Arial Unicode MS" w:cs="Noto Sans"/>
                <w:sz w:val="17"/>
              </w:rPr>
              <w:t>Normalna porażka odwołania nie stanowi naruszenia; działanie zostanie podjęte tylko wtedy, gdy jest świadomie fałszywe i złośliwie nadużywane.</w:t>
            </w:r>
          </w:p>
        </w:tc>
      </w:tr>
      <w:tr>
        <w:trPr>
          <w:cantSplit/>
        </w:trPr>
        <w:tc>
          <w:tcPr>
            <w:tcW w:type="dxa" w:w="3249"/>
            <w:vAlign w:val="center"/>
          </w:tcPr>
          <w:p>
            <w:pPr>
              <w:spacing w:after="40"/>
            </w:pPr>
            <w:r>
              <w:rPr>
                <w:rFonts w:ascii="Noto Sans" w:hAnsi="Noto Sans" w:eastAsia="Arial Unicode MS" w:cs="Noto Sans"/>
                <w:sz w:val="17"/>
              </w:rPr>
              <w:t>Korzystanie z powiązanych kont w celu uniknięcia kar lub przeniesienia nielegalnych zysków</w:t>
            </w:r>
          </w:p>
        </w:tc>
        <w:tc>
          <w:tcPr>
            <w:tcW w:type="dxa" w:w="3249"/>
            <w:vAlign w:val="center"/>
          </w:tcPr>
          <w:p>
            <w:pPr>
              <w:spacing w:after="40"/>
            </w:pPr>
            <w:r>
              <w:rPr>
                <w:rFonts w:ascii="Noto Sans" w:hAnsi="Noto Sans" w:eastAsia="Arial Unicode MS" w:cs="Noto Sans"/>
                <w:sz w:val="17"/>
              </w:rPr>
              <w:t>Rozszerz oryginalne kary na powiązane postacie/aktywa; ogranicz handel; zamroź/zatrzymaj przedmioty wirtualne; tymczasowo lub trwale izoluj</w:t>
            </w:r>
          </w:p>
        </w:tc>
        <w:tc>
          <w:tcPr>
            <w:tcW w:type="dxa" w:w="3249"/>
            <w:vAlign w:val="center"/>
          </w:tcPr>
          <w:p>
            <w:pPr>
              <w:spacing w:after="40"/>
            </w:pPr>
            <w:r>
              <w:rPr>
                <w:rFonts w:ascii="Noto Sans" w:hAnsi="Noto Sans" w:eastAsia="Arial Unicode MS" w:cs="Noto Sans"/>
                <w:sz w:val="17"/>
              </w:rPr>
              <w:t>Musi być wspierane przez rozsądne powiązania utworzone na podstawie dowodów, takich jak zapisy logowania, transakcje, informacje o urządzeniach i wzorce zachowań.</w:t>
            </w:r>
          </w:p>
        </w:tc>
      </w:tr>
    </w:tbl>
    <w:p>
      <w:pPr>
        <w:spacing w:after="40"/>
      </w:pPr>
    </w:p>
    <w:p>
      <w:pPr>
        <w:pStyle w:val="Heading1"/>
        <w:keepLines w:val="0"/>
      </w:pPr>
      <w:r>
        <w:rPr>
          <w:rFonts w:ascii="Noto Sans" w:hAnsi="Noto Sans" w:eastAsia="Arial Unicode MS" w:cs="Noto Sans"/>
          <w:b w:val="0"/>
        </w:rPr>
        <w:t>Rozdział Siedem: Śledztwo, dowody i środki tymczasowe</w:t>
      </w:r>
    </w:p>
    <w:p>
      <w:pPr>
        <w:pStyle w:val="ListBullet"/>
        <w:keepLines w:val="0"/>
      </w:pPr>
      <w:r>
        <w:rPr>
          <w:rFonts w:ascii="Noto Sans" w:hAnsi="Noto Sans" w:eastAsia="Arial Unicode MS" w:cs="Noto Sans"/>
          <w:b w:val="0"/>
        </w:rPr>
        <w:t>Operator może przeprowadzać dochodzenia w oparciu o dzienniki serwera, zapisy logowania, rekordy transakcji/prezentów/przelewów/e-maili, dzienniki czatu, nagrania rozgrywek, alerty systemowe, zgłoszenia graczy, rekordy obsługi klienta, rekordy płatności, zrzuty ekranu/wideo i inne wiarygodne dowody.</w:t>
      </w:r>
    </w:p>
    <w:p>
      <w:pPr>
        <w:pStyle w:val="ListBullet"/>
        <w:keepLines w:val="0"/>
      </w:pPr>
      <w:r>
        <w:rPr>
          <w:rFonts w:ascii="Noto Sans" w:hAnsi="Noto Sans" w:eastAsia="Arial Unicode MS" w:cs="Noto Sans"/>
          <w:b w:val="0"/>
        </w:rPr>
        <w:t>Pojedyncze zgłoszenie nie stanowi dowodu naruszenia. Operator zweryfikuje ramy czasowe, kontekst, łańcuchy transakcji, relacje między kontami i dzienniki systemowe, aby określić ważność.</w:t>
      </w:r>
    </w:p>
    <w:p>
      <w:pPr>
        <w:pStyle w:val="ListBullet"/>
        <w:keepLines w:val="0"/>
      </w:pPr>
      <w:r>
        <w:rPr>
          <w:rFonts w:ascii="Noto Sans" w:hAnsi="Noto Sans" w:eastAsia="Arial Unicode MS" w:cs="Noto Sans"/>
          <w:b w:val="0"/>
        </w:rPr>
        <w:t>Aby zapobiec dalszemu rozpowszechnianiu się aktywów lub utracie dowodów, w trakcie okresu dochodzeniowego mogą zostać wdrożone środki ochronne takie jak wymuszony tryb offline, tymczasowa izolacja, zamrożenie przedmiotów wirtualnych i ograniczenia transakcji. Środki te zostaną uchylone, utrzymane lub dostosowane zgodnie z wnioskami z dochodzenia po jego zakończeniu.</w:t>
      </w:r>
    </w:p>
    <w:p>
      <w:pPr>
        <w:pStyle w:val="ListBullet"/>
        <w:keepLines w:val="0"/>
      </w:pPr>
      <w:r>
        <w:rPr>
          <w:rFonts w:ascii="Noto Sans" w:hAnsi="Noto Sans" w:eastAsia="Arial Unicode MS" w:cs="Noto Sans"/>
          <w:b w:val="0"/>
        </w:rPr>
        <w:t>W przypadku incydentów takich jak włamanie na konto, kopiowanie przedmiotów, wykorzystywanie luk, nietypowe transakcje, spory o zwroty lub odwołania do konta, operator może zatrzymać odpowiednie dowody, w tym zapisy czatu, dzienniki transakcji i dane logowania, w celu specjalnego dochodzenia i celów odwoławczych.</w:t>
      </w:r>
    </w:p>
    <w:p>
      <w:pPr>
        <w:pStyle w:val="ListBullet"/>
        <w:keepLines w:val="0"/>
      </w:pPr>
      <w:r>
        <w:rPr>
          <w:rFonts w:ascii="Noto Sans" w:hAnsi="Noto Sans" w:eastAsia="Arial Unicode MS" w:cs="Noto Sans"/>
          <w:b w:val="0"/>
        </w:rPr>
        <w:t>Gracze są oczekiwani, aby współpracowali z rozsonnymi żądaniami dochodzeniowymi, ale oficjalny personel nie będzie prosić o pełne hasła, poświadczenia płatnicze ani niepotrzebne poufne informacje osobiste.</w:t>
      </w:r>
    </w:p>
    <w:p>
      <w:pPr>
        <w:pStyle w:val="Heading1"/>
        <w:keepLines w:val="0"/>
      </w:pPr>
      <w:r>
        <w:rPr>
          <w:rFonts w:ascii="Noto Sans" w:hAnsi="Noto Sans" w:eastAsia="Arial Unicode MS" w:cs="Noto Sans"/>
          <w:b w:val="0"/>
        </w:rPr>
        <w:t>Rozdział Osiem: Określenie ciężaru kary</w:t>
      </w:r>
    </w:p>
    <w:p>
      <w:pPr>
        <w:keepLines w:val="0"/>
      </w:pPr>
      <w:r>
        <w:rPr>
          <w:rFonts w:ascii="Noto Sans" w:hAnsi="Noto Sans" w:eastAsia="Arial Unicode MS" w:cs="Noto Sans"/>
          <w:b w:val="0"/>
        </w:rPr>
        <w:t>Różne kary mogą być stosowane w przypadku tego samego rodzaju naruszenia, głównie w oparciu o następujące czynniki:</w:t>
      </w:r>
    </w:p>
    <w:p>
      <w:pPr>
        <w:pStyle w:val="ListBullet"/>
        <w:keepLines w:val="0"/>
      </w:pPr>
      <w:r>
        <w:rPr>
          <w:rFonts w:ascii="Noto Sans" w:hAnsi="Noto Sans" w:eastAsia="Arial Unicode MS" w:cs="Noto Sans"/>
          <w:b w:val="0"/>
        </w:rPr>
        <w:t>Czy zachowanie jest jednorazowe, przypadkowe lub okazjonalne, czy powtarzalne, długotrwałe i zorganizowane;</w:t>
      </w:r>
    </w:p>
    <w:p>
      <w:pPr>
        <w:pStyle w:val="ListBullet"/>
        <w:keepLines w:val="0"/>
      </w:pPr>
      <w:r>
        <w:rPr>
          <w:rFonts w:ascii="Noto Sans" w:hAnsi="Noto Sans" w:eastAsia="Arial Unicode MS" w:cs="Noto Sans"/>
          <w:b w:val="0"/>
        </w:rPr>
        <w:t>Czy istnieje wyraźny zysk, zakłócenie systemu ekonomicznego, wpływ na rankingi lub szkoda dla interesów innych graczy;</w:t>
      </w:r>
    </w:p>
    <w:p>
      <w:pPr>
        <w:pStyle w:val="ListBullet"/>
        <w:keepLines w:val="0"/>
      </w:pPr>
      <w:r>
        <w:rPr>
          <w:rFonts w:ascii="Noto Sans" w:hAnsi="Noto Sans" w:eastAsia="Arial Unicode MS" w:cs="Noto Sans"/>
          <w:b w:val="0"/>
        </w:rPr>
        <w:t>Czy naruszenie zostało zgłoszone proaktywnie, czy szybko zaprzestano jego popełniania, czy nadmierne zyski zostały zwrócone i czy zapewniono współpracę w procesie naprawczym.</w:t>
      </w:r>
    </w:p>
    <w:p>
      <w:pPr>
        <w:pStyle w:val="ListBullet"/>
        <w:keepLines w:val="0"/>
      </w:pPr>
      <w:r>
        <w:rPr>
          <w:rFonts w:ascii="Noto Sans" w:hAnsi="Noto Sans" w:eastAsia="Arial Unicode MS" w:cs="Noto Sans"/>
          <w:b w:val="0"/>
        </w:rPr>
        <w:t>Czy celowe ukrywanie, niszczenie lub przenoszenie zysków, lub korzystanie z powiązanych kont w celu uniknięcia śledztwa;</w:t>
      </w:r>
    </w:p>
    <w:p>
      <w:pPr>
        <w:pStyle w:val="ListBullet"/>
        <w:keepLines w:val="0"/>
      </w:pPr>
      <w:r>
        <w:rPr>
          <w:rFonts w:ascii="Noto Sans" w:hAnsi="Noto Sans" w:eastAsia="Arial Unicode MS" w:cs="Noto Sans"/>
          <w:b w:val="0"/>
        </w:rPr>
        <w:t>Wpływ na liczbę graczy, czas trwania, straty w świecie rzeczywistym, stabilność serwerów oraz szkodę społeczną;</w:t>
      </w:r>
    </w:p>
    <w:p>
      <w:pPr>
        <w:pStyle w:val="ListBullet"/>
        <w:keepLines w:val="0"/>
      </w:pPr>
      <w:r>
        <w:rPr>
          <w:rFonts w:ascii="Noto Sans" w:hAnsi="Noto Sans" w:eastAsia="Arial Unicode MS" w:cs="Noto Sans"/>
          <w:b w:val="0"/>
        </w:rPr>
        <w:t>Czy strona wcześniej otrzymała ostrzeżenia, wyciszenie, izolację lub ograniczenia transakcji przed ponownym wykroczeniem.</w:t>
      </w:r>
    </w:p>
    <w:p>
      <w:pPr>
        <w:pStyle w:val="Heading1"/>
        <w:keepLines w:val="0"/>
      </w:pPr>
      <w:r>
        <w:rPr>
          <w:rFonts w:ascii="Noto Sans" w:hAnsi="Noto Sans" w:eastAsia="Arial Unicode MS" w:cs="Noto Sans"/>
          <w:b w:val="0"/>
        </w:rPr>
        <w:t>Dziewięć, Powtarzające się wykroczenia, Kumulatywne kary i związane postępowanie</w:t>
      </w:r>
    </w:p>
    <w:p>
      <w:pPr>
        <w:keepLines w:val="0"/>
      </w:pPr>
      <w:r>
        <w:rPr>
          <w:rFonts w:ascii="Noto Sans" w:hAnsi="Noto Sans" w:eastAsia="Arial Unicode MS" w:cs="Noto Sans"/>
          <w:b w:val="0"/>
        </w:rPr>
        <w:t>Operator może oddzielnie identyfikować naruszenia występujące jednocześnie i stosować kary akumulacyjne. Powtarzające się wykroczenia, próby uniknięcia kar, organizowanie innych do łamania zasad, czerpanie korzyści z takich naruszeń lub przesyłanie aktywów poprzez powiązane konta będą zazwyczaj podlegać surowszym środkom.</w:t>
      </w:r>
    </w:p>
    <w:p>
      <w:pPr>
        <w:keepLines w:val="0"/>
      </w:pPr>
      <w:r>
        <w:rPr>
          <w:rFonts w:ascii="Noto Sans" w:hAnsi="Noto Sans" w:eastAsia="Arial Unicode MS" w:cs="Noto Sans"/>
          <w:b w:val="0"/>
        </w:rPr>
        <w:t>Obsługa powiązań kont musi opierać się na rozsądnych podstawach dowodowych. Automatyczne domniemanie wspólnych naruszeń wyłącznie ze względu na wspólną sieć, relacje rodzinne lub przyjaźń jest niedopuszczalne; należy przeprowadzić kompleksową ocenę na podstawie zachowania logowania, łańcuchów transakcji, powiązań urządzeń/kont, relacji czasowych i rzeczywistego poziomu udziału.</w:t>
      </w:r>
    </w:p>
    <w:p>
      <w:pPr>
        <w:pStyle w:val="Heading1"/>
        <w:keepLines w:val="0"/>
      </w:pPr>
      <w:r>
        <w:rPr>
          <w:rFonts w:ascii="Noto Sans" w:hAnsi="Noto Sans" w:eastAsia="Arial Unicode MS" w:cs="Noto Sans"/>
          <w:b w:val="0"/>
        </w:rPr>
        <w:t>Dziesięć, Powiadomienie, Odwołania i sprostowanie błędnych wyroków</w:t>
      </w:r>
    </w:p>
    <w:p>
      <w:pPr>
        <w:pStyle w:val="ListBullet"/>
        <w:keepLines w:val="0"/>
      </w:pPr>
      <w:r>
        <w:rPr>
          <w:rFonts w:ascii="Noto Sans" w:hAnsi="Noto Sans" w:eastAsia="Arial Unicode MS" w:cs="Noto Sans"/>
          <w:b w:val="0"/>
        </w:rPr>
        <w:t>Po wymierzeniu kar operator zasadniczo powiadomi graczy o rodzaju kary i podstawowych przyczynach za pośrednictwem co najmniej jednej z następujących metod: powiadomień w grze, wiadomościach na koncie, rekordach oficjalnej strony internetowej/serwisu obsługi klienta lub e-maila.</w:t>
      </w:r>
    </w:p>
    <w:p>
      <w:pPr>
        <w:pStyle w:val="ListBullet"/>
        <w:keepLines w:val="0"/>
      </w:pPr>
      <w:r>
        <w:rPr>
          <w:rFonts w:ascii="Noto Sans" w:hAnsi="Noto Sans" w:eastAsia="Arial Unicode MS" w:cs="Noto Sans"/>
          <w:b w:val="0"/>
        </w:rPr>
        <w:t xml:space="preserve">Gracze mogą składać odwołania za pośrednictwem oficjalnego centrum obsługi klienta lub drogą mailową pod adresem </w:t>
      </w:r>
      <w:hyperlink r:id="rId11">
        <w:r>
          <w:rPr>
            <w:rFonts w:ascii="Noto Sans" w:hAnsi="Noto Sans" w:eastAsia="Arial Unicode MS"/>
            <w:b w:val="0"/>
          </w:rPr>
          <w:t xml:space="preserve">support@dawnbloom.net</w:t>
        </w:r>
      </w:hyperlink>
      <w:r>
        <w:rPr>
          <w:rFonts w:ascii="Noto Sans" w:hAnsi="Noto Sans" w:eastAsia="Arial Unicode MS" w:cs="Noto Sans"/>
          <w:b w:val="0"/>
        </w:rPr>
        <w:t xml:space="preserve">, a także dostarczyć jak najwięcej szczegółów, w tym nazwę postaci, identyfikator konta, datę kary, odpowiednie zapisy transakcji lub czatu oraz wszelkie inne weryfikowalne materiały.</w:t>
      </w:r>
    </w:p>
    <w:p>
      <w:pPr>
        <w:pStyle w:val="ListBullet"/>
        <w:keepLines w:val="0"/>
      </w:pPr>
      <w:r>
        <w:rPr>
          <w:rFonts w:ascii="Noto Sans" w:hAnsi="Noto Sans" w:eastAsia="Arial Unicode MS" w:cs="Noto Sans"/>
          <w:b w:val="0"/>
        </w:rPr>
        <w:t>Normalne odwołania, skargi lub krytyka działań nie skutkują dodatkowymi karami z powodu „braku odwołania”; kary mogą zostać nałożone zgodnie z tą polityką tylko w przypadku świadomego fałszowania dowodów, złośliwego nękania obsługi klienta lub oszustwego korzystania z systemu odwoławczego.</w:t>
      </w:r>
    </w:p>
    <w:p>
      <w:pPr>
        <w:pStyle w:val="ListBullet"/>
        <w:keepLines w:val="0"/>
      </w:pPr>
      <w:r>
        <w:rPr>
          <w:rFonts w:ascii="Noto Sans" w:hAnsi="Noto Sans" w:eastAsia="Arial Unicode MS" w:cs="Noto Sans"/>
          <w:b w:val="0"/>
        </w:rPr>
        <w:t>Jeśli potwierdzi się, że kara była błędna lub wyraźnie nadmierna, operator powinien ją cofnąć lub zmodyfikować; w przypadku aktywów/wartości liczbowych nieprawidłowo odzyskanych, zamrożonych lub potrąconych, należy podjąć starania o ich przywrócenie, whenever jest to technicznie możliwe i bez powodowania nowych anomalii ekonomicznych.</w:t>
      </w:r>
    </w:p>
    <w:p>
      <w:pPr>
        <w:pStyle w:val="ListBullet"/>
        <w:keepLines w:val="0"/>
      </w:pPr>
      <w:r>
        <w:rPr>
          <w:rFonts w:ascii="Noto Sans" w:hAnsi="Noto Sans" w:eastAsia="Arial Unicode MS" w:cs="Noto Sans"/>
          <w:b w:val="0"/>
        </w:rPr>
        <w:t>W złożonych przypadkach związanych z badaniami bezpieczeństwa, sporami dotyczącymi płatności osób trzecich lub dochodzeniami prawnymi terminy przetwarzania mogą zostać wydłużone.</w:t>
      </w:r>
    </w:p>
    <w:p>
      <w:pPr>
        <w:pStyle w:val="Heading1"/>
        <w:keepLines w:val="0"/>
      </w:pPr>
      <w:r>
        <w:rPr>
          <w:rFonts w:ascii="Noto Sans" w:hAnsi="Noto Sans" w:eastAsia="Arial Unicode MS" w:cs="Noto Sans"/>
          <w:b w:val="0"/>
        </w:rPr>
        <w:t>Jedenaście, Okoliczności szczególne</w:t>
      </w:r>
    </w:p>
    <w:p>
      <w:pPr>
        <w:pStyle w:val="Heading1"/>
        <w:keepLines w:val="0"/>
      </w:pPr>
      <w:r>
        <w:rPr>
          <w:rFonts w:ascii="Noto Sans" w:hAnsi="Noto Sans" w:eastAsia="Arial Unicode MS" w:cs="Noto Sans"/>
          <w:b w:val="0"/>
        </w:rPr>
        <w:t>11.1 Kompromitacja konta i skradzione aktywa</w:t>
      </w:r>
    </w:p>
    <w:p>
      <w:pPr>
        <w:keepLines w:val="0"/>
      </w:pPr>
      <w:r>
        <w:rPr>
          <w:rFonts w:ascii="Noto Sans" w:hAnsi="Noto Sans" w:eastAsia="Arial Unicode MS" w:cs="Noto Sans"/>
          <w:b w:val="0"/>
        </w:rPr>
        <w:t>Operator może badać przypadki kradzieży w oparciu o logowania, transakcje, e-maile, prezenty i inne łańcuchy behawioralne. W celu odzyskania skradzionych aktywów może być konieczne zamrożenie lub odzyskanie przedmiotów wirtualnych, które zostały przeniesione na inne konta. Obsługa niewinnych graczy będzie oceniana kompleksowo w oparciu o ceny transakcyjne, stopień anomalii źródła, świadomość gracza oraz możliwość odzyskania aktywów.</w:t>
      </w:r>
    </w:p>
    <w:p>
      <w:pPr>
        <w:pStyle w:val="Heading1"/>
        <w:keepLines w:val="0"/>
      </w:pPr>
      <w:r>
        <w:rPr>
          <w:rFonts w:ascii="Noto Sans" w:hAnsi="Noto Sans" w:eastAsia="Arial Unicode MS" w:cs="Noto Sans"/>
          <w:b w:val="0"/>
        </w:rPr>
        <w:t>11.2 Masowe anomalie ekonomiczne i reakcja kryzysowa</w:t>
      </w:r>
    </w:p>
    <w:p>
      <w:pPr>
        <w:keepLines w:val="0"/>
      </w:pPr>
      <w:r>
        <w:rPr>
          <w:rFonts w:ascii="Noto Sans" w:hAnsi="Noto Sans" w:eastAsia="Arial Unicode MS" w:cs="Noto Sans"/>
          <w:b w:val="0"/>
        </w:rPr>
        <w:t>Gdy takie problemy jak kopiowanie przedmiotów, nadużycia waluty, abnormowe nagrody lub inne anomalie ekonomiczne mogą wpłynąć na ogólną ekonomię gry, zespół operacyjny może tymczasowo zawiesić określone transakcje, listy, funkcje prezentowania lub transferu aktywów oraz przeprowadzić wsadowe zamrożenia i wycofania powiązanych aktywów. Takie działania stanowią środki techniczne awaryjne dla utrzymania stabilności ekonomicznej i mogą być wdrożone przed indywidualnymi karami dla graczy.</w:t>
      </w:r>
    </w:p>
    <w:p>
      <w:pPr>
        <w:pStyle w:val="Heading1"/>
        <w:keepLines w:val="0"/>
      </w:pPr>
      <w:r>
        <w:rPr>
          <w:rFonts w:ascii="Noto Sans" w:hAnsi="Noto Sans" w:eastAsia="Arial Unicode MS" w:cs="Noto Sans"/>
          <w:b w:val="0"/>
        </w:rPr>
        <w:t>11.3 Wymagania platformy, regulacyjne i prawne</w:t>
      </w:r>
    </w:p>
    <w:p>
      <w:pPr>
        <w:keepLines w:val="0"/>
      </w:pPr>
      <w:r>
        <w:rPr>
          <w:rFonts w:ascii="Noto Sans" w:hAnsi="Noto Sans" w:eastAsia="Arial Unicode MS" w:cs="Noto Sans"/>
          <w:b w:val="0"/>
        </w:rPr>
        <w:t>Jeśli Steam, Apple, platformy płatnicze, sklepy z aplikacjami lub prawnie upoważnione organy regulacyjne lub sądownicze wydają wiążące żądania, operator może być zobowiązany do podjęcia niezbędnych środków wykraczających poza standardowe kary wymienione w niniejszym dokumencie, w tym zawieszenia odpowiednich usług, zachowania dowodów lub współpracy w śledztwach.</w:t>
      </w:r>
    </w:p>
    <w:p>
      <w:pPr>
        <w:pStyle w:val="Heading1"/>
        <w:keepLines w:val="0"/>
      </w:pPr>
      <w:r>
        <w:rPr>
          <w:rFonts w:ascii="Noto Sans" w:hAnsi="Noto Sans" w:eastAsia="Arial Unicode MS" w:cs="Noto Sans"/>
          <w:b w:val="0"/>
        </w:rPr>
        <w:t>Trzynaście, Aktualizacje zasad i informacje kontaktowe</w:t>
      </w:r>
    </w:p>
    <w:p>
      <w:pPr>
        <w:keepLines w:val="0"/>
      </w:pPr>
      <w:r>
        <w:rPr>
          <w:rFonts w:ascii="Noto Sans" w:hAnsi="Noto Sans" w:eastAsia="Arial Unicode MS" w:cs="Noto Sans"/>
          <w:b w:val="0"/>
        </w:rPr>
        <w:t>DAWNBLOOM dąży do minimalizacji niepotrzebnych ograniczeń. Normalne transakcje graczy, prezenty, dyskusje, krytyka, rywalizacja, gra roli, interakcje społeczne i różnorodne wybory rozgrywki nie będą karane wyłącznie dlatego, że różnią się od oficjalnych preferencji. Skupienie zasad polega na zapobieganiu oszustwom, oszustwu, nękaniu, działaniom czarnego rynku, szkodom w świecie rzeczywistym i uszkodzeniu systemu gry – a nie na zamienianiu graczy w osoby sztywno przestrzegające instrukcji.</w:t>
      </w:r>
    </w:p>
    <w:p>
      <w:pPr>
        <w:keepLines w:val="0"/>
      </w:pPr>
      <w:r>
        <w:rPr>
          <w:rFonts w:ascii="Noto Sans" w:hAnsi="Noto Sans" w:eastAsia="Arial Unicode MS" w:cs="Noto Sans"/>
          <w:b w:val="0"/>
        </w:rPr>
        <w:t>Nie gwarantujemy, że wszystkie spory mogą zostać całkowicie uniknięte. W przypadku problemów z obszarami szarymi, zespół operacyjny priorytetowo potraktuje ich rozwiązywanie poprzez komunikację, przypomnienia i odwracalne środki; w przypadku jasnych, poważnych, zorganizowanych lub powtarzających się działań złośliwych, zostaną wdrożone silniejsze interwencje, takie jak izolacja, cofanie aktywów i ograniczenia transakcji.</w:t>
      </w:r>
    </w:p>
    <w:p>
      <w:pPr>
        <w:pStyle w:val="Heading1"/>
        <w:keepLines w:val="0"/>
      </w:pPr>
      <w:r>
        <w:rPr>
          <w:rFonts w:ascii="Noto Sans" w:hAnsi="Noto Sans" w:eastAsia="Arial Unicode MS" w:cs="Noto Sans"/>
          <w:b w:val="0"/>
        </w:rPr>
        <w:t>Trzynaście, Aktualizacje zasad i informacje kontaktowe</w:t>
      </w:r>
    </w:p>
    <w:p>
      <w:pPr>
        <w:keepLines w:val="0"/>
      </w:pPr>
      <w:r>
        <w:rPr>
          <w:rFonts w:ascii="Noto Sans" w:hAnsi="Noto Sans" w:eastAsia="Arial Unicode MS" w:cs="Noto Sans"/>
          <w:b w:val="0"/>
        </w:rPr>
        <w:t>Zgodnie ze zmianami funkcjonalności, platform, środowiska prawnego i praktyk operacyjnych, zasady te mogą być zmieniane. Każda istotna modyfikacja wpływająca na prawa graczy zostanie powiadomiona za pośrednictwem oficjalnej strony internetowej, ogłoszeń w grze lub innych rozsądnych środków. Nowe zasady wejdą generalnie w życie z dniem publikacji; w przypadku poważnych naruszeń, zagrożeń bezpieczeństwa lub aktualnie trwających wymogów prawnych, operator może podjąć natychmiastowe niezbędne działania.</w:t>
      </w:r>
    </w:p>
    <w:p>
      <w:pPr>
        <w:keepLines w:val="0"/>
      </w:pPr>
      <w:r>
        <w:rPr>
          <w:rFonts w:ascii="Noto Sans" w:hAnsi="Noto Sans" w:eastAsia="Arial Unicode MS" w:cs="Noto Sans"/>
          <w:b w:val="0"/>
        </w:rPr>
        <w:t xml:space="preserve">Ogólne wsparcie graczy: </w:t>
      </w:r>
      <w:hyperlink r:id="rId11">
        <w:r>
          <w:rPr>
            <w:rFonts w:ascii="Noto Sans" w:hAnsi="Noto Sans" w:eastAsia="Arial Unicode MS"/>
            <w:b w:val="0"/>
          </w:rPr>
          <w:t xml:space="preserve">support@dawnbloom.net</w:t>
        </w:r>
      </w:hyperlink>
      <w:r>
        <w:rPr>
          <w:rFonts w:ascii="Noto Sans" w:hAnsi="Noto Sans" w:eastAsia="Arial Unicode MS" w:cs="Noto Sans"/>
          <w:b w:val="0"/>
        </w:rPr>
        <w:t xml:space="preserve">; Luki bezpieczeństwa i incydenty bezpieczeństwa: </w:t>
      </w:r>
      <w:hyperlink r:id="rId12">
        <w:r>
          <w:rPr>
            <w:rFonts w:ascii="Noto Sans" w:hAnsi="Noto Sans" w:eastAsia="Arial Unicode MS"/>
            <w:b w:val="0"/>
          </w:rPr>
          <w:t xml:space="preserve">security@dawnbloom.net</w:t>
        </w:r>
      </w:hyperlink>
      <w:r>
        <w:rPr>
          <w:rFonts w:ascii="Noto Sans" w:hAnsi="Noto Sans" w:eastAsia="Arial Unicode MS" w:cs="Noto Sans"/>
          <w:b w:val="0"/>
        </w:rPr>
        <w:t xml:space="preserve">; Sprawy prawne, prawa autorskie i prywatność: </w:t>
      </w:r>
      <w:hyperlink r:id="rId13">
        <w:r>
          <w:rPr>
            <w:rFonts w:ascii="Noto Sans" w:hAnsi="Noto Sans" w:eastAsia="Arial Unicode MS"/>
            <w:b w:val="0"/>
          </w:rPr>
          <w:t xml:space="preserve">legal@dawnbloom.net</w:t>
        </w:r>
      </w:hyperlink>
    </w:p>
    <w:p>
      <w:pPr>
        <w:keepLines w:val="0"/>
      </w:pPr>
      <w:r>
        <w:rPr>
          <w:rFonts w:ascii="Noto Sans" w:hAnsi="Noto Sans" w:eastAsia="Arial Unicode MS" w:cs="Noto Sans"/>
          <w:b w:val="0"/>
        </w:rPr>
        <w:t xml:space="preserve">Oficjalna strona internetowa: </w:t>
      </w:r>
      <w:hyperlink r:id="rId14">
        <w:r>
          <w:rPr>
            <w:rFonts w:ascii="Noto Sans" w:hAnsi="Noto Sans" w:eastAsia="Arial Unicode MS"/>
            <w:b w:val="0"/>
          </w:rPr>
          <w:t xml:space="preserve">https://dawnbloom.net</w:t>
        </w:r>
      </w:hyperlink>
    </w:p>
    <w:p>
      <w:pPr>
        <w:keepLines w:val="0"/>
      </w:pPr>
      <w:r>
        <w:rPr>
          <w:rFonts w:ascii="Noto Sans" w:hAnsi="Noto Sans" w:eastAsia="Arial Unicode MS" w:cs="Noto Sans"/>
          <w:b w:val="0"/>
        </w:rPr>
        <w:t>Operator / dostawca usług strony internetowej: Shanghai Zhuiguang Zhichuang Culture Media Co., Ltd. (Publiczna nazwa angielska: SHANGHAI LUMIREALM CREATIVE MEDIA CO., LTD.)</w:t>
      </w:r>
    </w:p>
    <w:p>
      <w:pPr>
        <w:keepLines w:val="0"/>
      </w:pPr>
      <w:r>
        <w:rPr>
          <w:rFonts w:ascii="Noto Sans" w:hAnsi="Noto Sans" w:eastAsia="Arial Unicode MS" w:cs="Noto Sans"/>
          <w:b w:val="0"/>
        </w:rPr>
        <w:t>Adres operacyjny / oficjalny adres kontaktowy: Pokój 218, Budynek 3, Nr 336 Tianjiao Road, Specjalna Strefa Wolnego Handlu Lin-gang, Chińska Republika Ludowa (Chiny) (Pilot Free Trade Zone of the China (Shanghai))</w:t>
      </w:r>
    </w:p>
    <w:sectPr w:rsidR="00FC693F" w:rsidRPr="0006063C" w:rsidSect="00034616">
      <w:headerReference w:type="default" r:id="rId9"/>
      <w:footerReference w:type="default" r:id="rId10"/>
      <w:pgSz w:w="12240" w:h="15840"/>
      <w:pgMar w:top="1191" w:right="1247" w:bottom="1020" w:left="124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Noto Sans" w:hAnsi="Noto Sans" w:eastAsia="Arial Unicode MS"/>
        <w:sz w:val="16"/>
      </w:rPr>
      <w:t xml:space="preserve">dawnbloom.net  ·  </w:t>
    </w:r>
    <w:r>
      <w:fldChar w:fldCharType="begin"/>
      <w:instrText xml:space="preserve"> PAGE </w:instrText>
      <w:fldChar w:fldCharType="end"/>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center"/>
    </w:pPr>
    <w:r>
      <w:rPr>
        <w:rFonts w:ascii="Noto Sans" w:hAnsi="Noto Sans" w:eastAsia="Arial Unicode MS"/>
        <w:color w:val="67778B"/>
        <w:sz w:val="15"/>
      </w:rPr>
      <w:t>DAWNBLOOM · OFFICIAL LEGAL DOCUMENT · V8</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00" w:line="276" w:lineRule="auto"/>
    </w:pPr>
    <w:rPr>
      <w:rFonts w:ascii="Noto Sans" w:hAnsi="Noto Sans" w:eastAsia="Arial Unicode MS"/>
      <w:color w:val="243042"/>
      <w:sz w:val="19"/>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00" w:after="80"/>
      <w:outlineLvl w:val="0"/>
    </w:pPr>
    <w:rPr>
      <w:rFonts w:asciiTheme="majorHAnsi" w:eastAsiaTheme="majorEastAsia" w:hAnsiTheme="majorHAnsi" w:cstheme="majorBidi" w:ascii="Noto Sans" w:hAnsi="Noto Sans" w:eastAsia="Arial Unicode MS"/>
      <w:b/>
      <w:bCs/>
      <w:color w:val="123C71"/>
      <w:sz w:val="30"/>
      <w:szCs w:val="28"/>
    </w:rPr>
  </w:style>
  <w:style w:type="paragraph" w:styleId="Heading2">
    <w:name w:val="heading 2"/>
    <w:basedOn w:val="Normal"/>
    <w:next w:val="Normal"/>
    <w:link w:val="Heading2Char"/>
    <w:uiPriority w:val="9"/>
    <w:unhideWhenUsed/>
    <w:qFormat/>
    <w:rsid w:val="00FC693F"/>
    <w:pPr>
      <w:keepNext/>
      <w:keepLines/>
      <w:spacing w:before="200" w:after="80"/>
      <w:outlineLvl w:val="1"/>
    </w:pPr>
    <w:rPr>
      <w:rFonts w:asciiTheme="majorHAnsi" w:eastAsiaTheme="majorEastAsia" w:hAnsiTheme="majorHAnsi" w:cstheme="majorBidi" w:ascii="Noto Sans" w:hAnsi="Noto Sans" w:eastAsia="Arial Unicode MS"/>
      <w:b/>
      <w:bCs/>
      <w:color w:val="123C71"/>
      <w:sz w:val="25"/>
      <w:szCs w:val="26"/>
    </w:rPr>
  </w:style>
  <w:style w:type="paragraph" w:styleId="Heading3">
    <w:name w:val="heading 3"/>
    <w:basedOn w:val="Normal"/>
    <w:next w:val="Normal"/>
    <w:link w:val="Heading3Char"/>
    <w:uiPriority w:val="9"/>
    <w:unhideWhenUsed/>
    <w:qFormat/>
    <w:rsid w:val="00FC693F"/>
    <w:pPr>
      <w:keepNext/>
      <w:keepLines/>
      <w:spacing w:before="200" w:after="80"/>
      <w:outlineLvl w:val="2"/>
    </w:pPr>
    <w:rPr>
      <w:rFonts w:asciiTheme="majorHAnsi" w:eastAsiaTheme="majorEastAsia" w:hAnsiTheme="majorHAnsi" w:cstheme="majorBidi" w:ascii="Noto Sans" w:hAnsi="Noto Sans" w:eastAsia="Arial Unicode MS"/>
      <w:b/>
      <w:bCs/>
      <w:color w:val="123C71"/>
      <w:sz w:val="22"/>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ascii="Noto Sans" w:hAnsi="Noto Sans" w:eastAsia="Arial Unicode MS"/>
      <w:b/>
      <w:color w:val="142032"/>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mailto:support@dawnbloom.net" TargetMode="External"/><Relationship Id="rId12" Type="http://schemas.openxmlformats.org/officeDocument/2006/relationships/hyperlink" Target="mailto:security@dawnbloom.net" TargetMode="External"/><Relationship Id="rId13" Type="http://schemas.openxmlformats.org/officeDocument/2006/relationships/hyperlink" Target="mailto:legal@dawnbloom.net" TargetMode="External"/><Relationship Id="rId14" Type="http://schemas.openxmlformats.org/officeDocument/2006/relationships/hyperlink" Target="https://dawnbloom.ne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Zasady Gracza i Polityka Egzekucji DAWNBLOOM</dc:title>
  <dc:subject>DAWNBLOOM legal document V8</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