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Oficjalne Kanały DAWNBLOOM &amp; Ostrzeżenie Antyoszustw</w:t>
      </w:r>
    </w:p>
    <w:p>
      <w:pPr>
        <w:keepLines w:val="0"/>
      </w:pPr>
      <w:r>
        <w:rPr>
          <w:rFonts w:ascii="Noto Sans" w:hAnsi="Noto Sans" w:eastAsia="Arial Unicode MS" w:cs="Noto Sans"/>
          <w:b w:val="0"/>
        </w:rPr>
        <w:t>Wersja oficjalna</w:t>
      </w:r>
    </w:p>
    <w:p>
      <w:pPr>
        <w:keepLines w:val="0"/>
      </w:pPr>
      <w:r>
        <w:rPr>
          <w:rFonts w:ascii="Noto Sans" w:hAnsi="Noto Sans" w:eastAsia="Arial Unicode MS" w:cs="Noto Sans"/>
          <w:b w:val="0"/>
        </w:rPr>
        <w:t>OFICJALNE KANAŁY I OSTRZEŻENIE PRZECIW OSZUSTWOM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Proszę zweryfikować tylko oficjalną stronę internetową</w:t>
              <w:br/>
              <w:t>https://dawnbloom.net</w:t>
            </w:r>
          </w:p>
        </w:tc>
      </w:tr>
    </w:tbl>
    <w:p>
      <w:pPr>
        <w:spacing w:after="40"/>
      </w:pPr>
    </w:p>
    <w:p>
      <w:pPr>
        <w:keepLines w:val="0"/>
      </w:pPr>
      <w:r>
        <w:rPr>
          <w:rFonts w:ascii="Noto Sans" w:hAnsi="Noto Sans" w:eastAsia="Arial Unicode MS" w:cs="Noto Sans"/>
          <w:b w:val="0"/>
        </w:rPr>
        <w:t>V8 · 10 października 2026 r.</w:t>
      </w:r>
    </w:p>
    <w:p>
      <w:pPr>
        <w:keepLines w:val="0"/>
      </w:pPr>
      <w:r>
        <w:rPr>
          <w:rFonts w:ascii="Noto Sans" w:hAnsi="Noto Sans" w:eastAsia="Arial Unicode MS" w:cs="Noto Sans"/>
          <w:b w:val="0"/>
        </w:rPr>
        <w:t>Data wejścia w życie: 10 października 2026 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Każda strona internetowa, obsługa klienta, konto w mediach społecznościowych lub strona płatności twierdząca, że reprezentuje DAWNBLOOM (DAWNBLOOM), która nie jest wyraźnie wymieniona w tym ogłoszeniu ani na oficjalnej stronie internetowej, nie powinna być dostarczana z informacjami o koncie, kodami weryfikacyjnymi ani nie należy żądać od niej płatności.</w:t>
            </w:r>
          </w:p>
        </w:tc>
      </w:tr>
    </w:tbl>
    <w:p>
      <w:pPr>
        <w:spacing w:after="40"/>
      </w:pPr>
    </w:p>
    <w:p>
      <w:pPr>
        <w:pStyle w:val="Heading1"/>
        <w:keepLines w:val="0"/>
      </w:pPr>
      <w:r>
        <w:rPr>
          <w:rFonts w:ascii="Noto Sans" w:hAnsi="Noto Sans" w:eastAsia="Arial Unicode MS" w:cs="Noto Sans"/>
          <w:b w:val="0"/>
        </w:rPr>
        <w:t>1. Cel niniejszego ostrzeżenia</w:t>
      </w:r>
    </w:p>
    <w:p>
      <w:pPr>
        <w:keepLines w:val="0"/>
      </w:pPr>
      <w:r>
        <w:rPr>
          <w:rFonts w:ascii="Noto Sans" w:hAnsi="Noto Sans" w:eastAsia="Arial Unicode MS" w:cs="Noto Sans"/>
          <w:b w:val="0"/>
        </w:rPr>
        <w:t>Niniejsze ogłoszenie ma na celu pomoc graczom w zidentyfikowaniu oficjalnej strony internetowej, adresu e-mail, mediów społecznościowych oraz kanałów obsługi klienta „DAWNBLOOM” (DAWNBLOOM). Ma ono na celu zmniejszenie ryzyka związanego z fałszywą obsługą klienta, fałszywymi usługami doładowania, stronami phishingowymi, linkami kradzieży kont, fałszywnymi roszczeniami o zwrot pieniędzy oraz podszywaniem się przez osoby nieuprawnione. Oficjalne kanały mogą być dodawane, przenoszone lub zmieniane zgodnie z dostosowaniami platformy; wszelkie takie zmiany lub aktualizacje zostaną ostatecznie zatwierdzone i ogłoszone oficjalnie poprzez dawnbloom.net.</w:t>
      </w:r>
    </w:p>
    <w:p>
      <w:pPr>
        <w:keepLines w:val="0"/>
      </w:pPr>
      <w:r>
        <w:rPr>
          <w:rFonts w:ascii="Noto Sans" w:hAnsi="Noto Sans" w:eastAsia="Arial Unicode MS" w:cs="Noto Sans"/>
          <w:b w:val="0"/>
        </w:rPr>
        <w:t>Niniejsze ogłoszenie pomaga również użytkownikom w identyfikacji stron, instalatorów, aktualizacji i pomocy dla gry, Tokena, Przeglądarki, Wiadomości, Poczty, Pobierania i Archiwum. Nie pozyskuj niewydanych produktów z nieznanych hostów plików, udostępniania grupowego, prywatnych czatów ani stron z oprogramowaniem łamanym.</w:t>
      </w:r>
    </w:p>
    <w:p>
      <w:pPr>
        <w:pStyle w:val="Heading1"/>
        <w:keepLines w:val="0"/>
      </w:pPr>
      <w:r>
        <w:rPr>
          <w:rFonts w:ascii="Noto Sans" w:hAnsi="Noto Sans" w:eastAsia="Arial Unicode MS" w:cs="Noto Sans"/>
          <w:b w:val="0"/>
        </w:rPr>
        <w:t>2. Oficjalne kanały</w:t>
      </w:r>
    </w:p>
    <w:p>
      <w:pPr>
        <w:keepLines w:val="0"/>
      </w:pPr>
      <w:r>
        <w:rPr>
          <w:rFonts w:ascii="Noto Sans" w:hAnsi="Noto Sans" w:eastAsia="Arial Unicode MS" w:cs="Noto Sans"/>
          <w:b w:val="0"/>
        </w:rPr>
        <w:t>DAWNBLOOM Fairy i DAWNBLOOM AI należą do tego samego systemu usług inteligentnych naszej spółki. Nie wysyłaj w rozmowie haseł, pełnych jednorazowych kodów weryfikacyjnych, tokenów dostępu ani danych uwierzytelniających płatności. Sugestie AI i karty Intelligent UI nie zastępują oficjalnej weryfikacji tożsamości; operacje dotyczące konta, aktywów i danych osobowych nadal wymagają przejścia zweryfikowanej formalnej procedury obsługi. Nie ufaj wiadomościom, które w imieniu AI żądają ominięcia weryfikacji, zapłaty na prywatne konto lub przekazania informacji wrażliwych w podobnie nazwanej domenie.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Kanał</w:t>
            </w:r>
          </w:p>
        </w:tc>
        <w:tc>
          <w:tcPr>
            <w:tcW w:type="dxa" w:w="3249"/>
            <w:vAlign w:val="center"/>
            <w:shd w:fill="DCE8F7"/>
          </w:tcPr>
          <w:p>
            <w:pPr>
              <w:keepNext/>
              <w:spacing w:after="40"/>
            </w:pPr>
            <w:r>
              <w:rPr>
                <w:rFonts w:ascii="Noto Sans" w:hAnsi="Noto Sans" w:eastAsia="Arial Unicode MS" w:cs="Noto Sans"/>
                <w:b/>
                <w:sz w:val="17"/>
              </w:rPr>
              <w:t>Informacje oficjalne</w:t>
            </w:r>
          </w:p>
        </w:tc>
        <w:tc>
          <w:tcPr>
            <w:tcW w:type="dxa" w:w="3249"/>
            <w:vAlign w:val="center"/>
            <w:shd w:fill="DCE8F7"/>
          </w:tcPr>
          <w:p>
            <w:pPr>
              <w:keepNext/>
              <w:spacing w:after="40"/>
            </w:pPr>
            <w:r>
              <w:rPr>
                <w:rFonts w:ascii="Noto Sans" w:hAnsi="Noto Sans" w:eastAsia="Arial Unicode MS" w:cs="Noto Sans"/>
                <w:b/>
                <w:sz w:val="17"/>
              </w:rPr>
              <w:t>Cel</w:t>
            </w:r>
          </w:p>
        </w:tc>
      </w:tr>
      <w:tr>
        <w:trPr>
          <w:cantSplit/>
        </w:trPr>
        <w:tc>
          <w:tcPr>
            <w:tcW w:type="dxa" w:w="3249"/>
            <w:vAlign w:val="center"/>
          </w:tcPr>
          <w:p>
            <w:pPr>
              <w:spacing w:after="40"/>
            </w:pPr>
            <w:r>
              <w:rPr>
                <w:rFonts w:ascii="Noto Sans" w:hAnsi="Noto Sans" w:eastAsia="Arial Unicode MS" w:cs="Noto Sans"/>
                <w:sz w:val="17"/>
              </w:rPr>
              <w:t>Jedyna globalna witryna</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Dokumenty prawne, pobieranie gier, usługi konta, społeczność, sklep, ogłoszenia i oficjalne punkty wejścia</w:t>
            </w:r>
          </w:p>
        </w:tc>
      </w:tr>
      <w:tr>
        <w:trPr>
          <w:cantSplit/>
        </w:trPr>
        <w:tc>
          <w:tcPr>
            <w:tcW w:type="dxa" w:w="3249"/>
            <w:vAlign w:val="center"/>
          </w:tcPr>
          <w:p>
            <w:pPr>
              <w:spacing w:after="40"/>
            </w:pPr>
            <w:r>
              <w:rPr>
                <w:rFonts w:ascii="Noto Sans" w:hAnsi="Noto Sans" w:eastAsia="Arial Unicode MS" w:cs="Noto Sans"/>
                <w:sz w:val="17"/>
              </w:rPr>
              <w:t>Oficjalne wejście języka chińskiego</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Oficjalne wejście języka japońskiego</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Otwarty;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Oficjalne wejście języka koreańskiego</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Oficjalne wejścia w języku koreańskim dawnbloom.kr i www.dawnbloom.kr korzystają z przekierowań HTTPS 301 do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Zmiany DNS mogą wymagać czasu na propagację. Korzystają z ujednoliconej strony internetowej i nie tworzą osobnej strony internetowej, konta, bazy danych ani serwera gier koreańskich.</w:t>
            </w:r>
          </w:p>
        </w:tc>
      </w:tr>
      <w:tr>
        <w:trPr>
          <w:cantSplit/>
        </w:trPr>
        <w:tc>
          <w:tcPr>
            <w:tcW w:type="dxa" w:w="3249"/>
            <w:vAlign w:val="center"/>
          </w:tcPr>
          <w:p>
            <w:pPr>
              <w:spacing w:after="40"/>
            </w:pPr>
            <w:r>
              <w:rPr>
                <w:rFonts w:ascii="Noto Sans" w:hAnsi="Noto Sans" w:eastAsia="Arial Unicode MS" w:cs="Noto Sans"/>
                <w:sz w:val="17"/>
              </w:rPr>
              <w:t>Istniejące wejście ochrony marki chińskiej</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Istniejące wejście ochrony marki japońskiej</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E-mail obsługi klienta</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Obsługa graczy, problemy z kontem, sytuacje nietypowe i ogólne wsparcie</w:t>
            </w:r>
          </w:p>
        </w:tc>
      </w:tr>
      <w:tr>
        <w:trPr>
          <w:cantSplit/>
        </w:trPr>
        <w:tc>
          <w:tcPr>
            <w:tcW w:type="dxa" w:w="3249"/>
            <w:vAlign w:val="center"/>
          </w:tcPr>
          <w:p>
            <w:pPr>
              <w:spacing w:after="40"/>
            </w:pPr>
            <w:r>
              <w:rPr>
                <w:rFonts w:ascii="Noto Sans" w:hAnsi="Noto Sans" w:eastAsia="Arial Unicode MS" w:cs="Noto Sans"/>
                <w:sz w:val="17"/>
              </w:rPr>
              <w:t>Sugestie / skargi</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Codzienne sugestie, skargi dotyczące usług i opinie o doświadczeniach</w:t>
            </w:r>
          </w:p>
        </w:tc>
      </w:tr>
      <w:tr>
        <w:trPr>
          <w:cantSplit/>
        </w:trPr>
        <w:tc>
          <w:tcPr>
            <w:tcW w:type="dxa" w:w="3249"/>
            <w:vAlign w:val="center"/>
          </w:tcPr>
          <w:p>
            <w:pPr>
              <w:spacing w:after="40"/>
            </w:pPr>
            <w:r>
              <w:rPr>
                <w:rFonts w:ascii="Noto Sans" w:hAnsi="Noto Sans" w:eastAsia="Arial Unicode MS" w:cs="Noto Sans"/>
                <w:sz w:val="17"/>
              </w:rPr>
              <w:t>E-mail rozliczeń</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Zamówienia, płatności, rozliczenia, zwroty i sprawy związane z transakcjami</w:t>
            </w:r>
          </w:p>
        </w:tc>
      </w:tr>
      <w:tr>
        <w:trPr>
          <w:cantSplit/>
        </w:trPr>
        <w:tc>
          <w:tcPr>
            <w:tcW w:type="dxa" w:w="3249"/>
            <w:vAlign w:val="center"/>
          </w:tcPr>
          <w:p>
            <w:pPr>
              <w:spacing w:after="40"/>
            </w:pPr>
            <w:r>
              <w:rPr>
                <w:rFonts w:ascii="Noto Sans" w:hAnsi="Noto Sans" w:eastAsia="Arial Unicode MS" w:cs="Noto Sans"/>
                <w:sz w:val="17"/>
              </w:rPr>
              <w:t>E-mail mediów/partnerstwa</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Zapytania medialne, współpraca biznesowa oraz sprawy niezwiązane z obsługą klienta</w:t>
            </w:r>
          </w:p>
        </w:tc>
      </w:tr>
      <w:tr>
        <w:trPr>
          <w:cantSplit/>
        </w:trPr>
        <w:tc>
          <w:tcPr>
            <w:tcW w:type="dxa" w:w="3249"/>
            <w:vAlign w:val="center"/>
          </w:tcPr>
          <w:p>
            <w:pPr>
              <w:spacing w:after="40"/>
            </w:pPr>
            <w:r>
              <w:rPr>
                <w:rFonts w:ascii="Noto Sans" w:hAnsi="Noto Sans" w:eastAsia="Arial Unicode MS" w:cs="Noto Sans"/>
                <w:sz w:val="17"/>
              </w:rPr>
              <w:t>E-mail prawny/prawa autorskie</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Zawiadomienia prawne, prawa autorskie, własność intelektualna i formalne komunikaty prawne</w:t>
            </w:r>
          </w:p>
        </w:tc>
      </w:tr>
      <w:tr>
        <w:trPr>
          <w:cantSplit/>
        </w:trPr>
        <w:tc>
          <w:tcPr>
            <w:tcW w:type="dxa" w:w="3249"/>
            <w:vAlign w:val="center"/>
          </w:tcPr>
          <w:p>
            <w:pPr>
              <w:spacing w:after="40"/>
            </w:pPr>
            <w:r>
              <w:rPr>
                <w:rFonts w:ascii="Noto Sans" w:hAnsi="Noto Sans" w:eastAsia="Arial Unicode MS" w:cs="Noto Sans"/>
                <w:sz w:val="17"/>
              </w:rPr>
              <w:t>E-mail dotyczący luk w zabezpieczeniach</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Luki w zabezpieczeniach, techniczne problemy bezpieczeństwa oraz odpowiedzialne ujawnianie</w:t>
            </w:r>
          </w:p>
        </w:tc>
      </w:tr>
    </w:tbl>
    <w:p>
      <w:pPr>
        <w:spacing w:after="40"/>
      </w:pPr>
    </w:p>
    <w:p>
      <w:pPr>
        <w:keepLines w:val="0"/>
      </w:pPr>
      <w:r>
        <w:rPr>
          <w:rFonts w:ascii="Noto Sans" w:hAnsi="Noto Sans" w:eastAsia="Arial Unicode MS" w:cs="Noto Sans"/>
          <w:b w:val="0"/>
        </w:rPr>
        <w:t>Pozycje regionalne w tabeli służą wyłącznie do wyboru języka. Nie obsługują samodzielnie rejestracji, uwierzytelniania, zmiany haseł, doładowań, płatności ani zamówień. Po normalnym przekierowaniu zweryfikuj pełną nazwę hosta głównej strony oraz ścieżkę językową w pasku adresu. Oba wpisy regionalne są otwarte i używają przekierowań HTTPS 301 do wskazanych ścieżek językowych głównej strony. Wpisy regionalne nie tworzą nowego operatora ani bazy danych i nie przenoszą kont ani danych graczy. Ich sufiksy nie oznaczają hostingu na stałym lądzie Chin, zgłoszenia ICP ani japońskiej korporacji lub oddziału. Operator dostarczył tożsamość rejestracyjną firmy dla wpisu chińskiego. Zarejestrowany właściciel i formalne uprawnienie wpisu japońskiego pozostają do weryfikacji; niniejsze zastrzeżenie nie twierdzi o bezpośrednim własnictwie firmy. Istniejące domeny ochrony marki są nadal wymienione. Samo wyświetlanie kodu Punycode nie jest dowodem na podszywanie się, ale sprawdź pełną pisownię i ostateczny adres. Inne domeny wyglądające podobnie nie stają się oficjalne ze względu na podobieństwo. Oficjalny e-mail nadal używa tylko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Usługa</w:t>
            </w:r>
          </w:p>
        </w:tc>
        <w:tc>
          <w:tcPr>
            <w:tcW w:type="dxa" w:w="4873"/>
            <w:vAlign w:val="center"/>
            <w:shd w:fill="DCE8F7"/>
          </w:tcPr>
          <w:p>
            <w:pPr>
              <w:keepNext/>
              <w:spacing w:after="40"/>
            </w:pPr>
            <w:r>
              <w:rPr>
                <w:rFonts w:ascii="Noto Sans" w:hAnsi="Noto Sans" w:eastAsia="Arial Unicode MS" w:cs="Noto Sans"/>
                <w:b/>
                <w:sz w:val="17"/>
              </w:rPr>
              <w:t>Oficjalna ścieżka głównej strony (zamień zh na en lub ja)</w:t>
            </w:r>
          </w:p>
        </w:tc>
      </w:tr>
      <w:tr>
        <w:trPr>
          <w:cantSplit/>
        </w:trPr>
        <w:tc>
          <w:tcPr>
            <w:tcW w:type="dxa" w:w="4873"/>
            <w:vAlign w:val="center"/>
          </w:tcPr>
          <w:p>
            <w:pPr>
              <w:spacing w:after="40"/>
            </w:pPr>
            <w:r>
              <w:rPr>
                <w:rFonts w:ascii="Noto Sans" w:hAnsi="Noto Sans" w:eastAsia="Arial Unicode MS" w:cs="Noto Sans"/>
                <w:sz w:val="17"/>
              </w:rPr>
              <w:t>Logowanie do konta</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Odzyskiwanie i kontrola bezpieczeństwa</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Wsparcie i kontakt</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Oficjalne pobrania</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Sklep, doładowania i rozliczenia (zależnie od dostępności)</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Informacje o jednostce operacyjnej i kontakcie prawnym</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Projekt</w:t>
            </w:r>
          </w:p>
        </w:tc>
        <w:tc>
          <w:tcPr>
            <w:tcW w:type="dxa" w:w="4873"/>
            <w:vAlign w:val="center"/>
            <w:shd w:fill="DCE8F7"/>
          </w:tcPr>
          <w:p>
            <w:pPr>
              <w:keepNext/>
              <w:spacing w:after="40"/>
            </w:pPr>
            <w:r>
              <w:rPr>
                <w:rFonts w:ascii="Noto Sans" w:hAnsi="Noto Sans" w:eastAsia="Arial Unicode MS" w:cs="Noto Sans"/>
                <w:b/>
                <w:sz w:val="17"/>
              </w:rPr>
              <w:t>Informacje</w:t>
            </w:r>
          </w:p>
        </w:tc>
      </w:tr>
      <w:tr>
        <w:trPr>
          <w:cantSplit/>
        </w:trPr>
        <w:tc>
          <w:tcPr>
            <w:tcW w:type="dxa" w:w="4873"/>
            <w:vAlign w:val="center"/>
          </w:tcPr>
          <w:p>
            <w:pPr>
              <w:spacing w:after="40"/>
            </w:pPr>
            <w:r>
              <w:rPr>
                <w:rFonts w:ascii="Noto Sans" w:hAnsi="Noto Sans" w:eastAsia="Arial Unicode MS" w:cs="Noto Sans"/>
                <w:sz w:val="17"/>
              </w:rPr>
              <w:t>Operator / dostawca usług witryny</w:t>
            </w:r>
          </w:p>
        </w:tc>
        <w:tc>
          <w:tcPr>
            <w:tcW w:type="dxa" w:w="4873"/>
            <w:vAlign w:val="center"/>
          </w:tcPr>
          <w:p>
            <w:pPr>
              <w:spacing w:after="40"/>
            </w:pPr>
            <w:r>
              <w:rPr>
                <w:rFonts w:ascii="Noto Sans" w:hAnsi="Noto Sans" w:eastAsia="Arial Unicode MS" w:cs="Noto Sans"/>
                <w:sz w:val="17"/>
              </w:rPr>
              <w:t>上海追光智创文化传媒有限公司 (Angielska nazwa publiczna: SHANGHAI LUMIREALM CREATIVE MEDIA CO., LTD.)</w:t>
            </w:r>
          </w:p>
        </w:tc>
      </w:tr>
      <w:tr>
        <w:trPr>
          <w:cantSplit/>
        </w:trPr>
        <w:tc>
          <w:tcPr>
            <w:tcW w:type="dxa" w:w="4873"/>
            <w:vAlign w:val="center"/>
          </w:tcPr>
          <w:p>
            <w:pPr>
              <w:spacing w:after="40"/>
            </w:pPr>
            <w:r>
              <w:rPr>
                <w:rFonts w:ascii="Noto Sans" w:hAnsi="Noto Sans" w:eastAsia="Arial Unicode MS" w:cs="Noto Sans"/>
                <w:sz w:val="17"/>
              </w:rPr>
              <w:t>Adres operacyjny / adres kontaktu prawnego</w:t>
            </w:r>
          </w:p>
        </w:tc>
        <w:tc>
          <w:tcPr>
            <w:tcW w:type="dxa" w:w="4873"/>
            <w:vAlign w:val="center"/>
          </w:tcPr>
          <w:p>
            <w:pPr>
              <w:spacing w:after="40"/>
            </w:pPr>
            <w:r>
              <w:rPr>
                <w:rFonts w:ascii="Noto Sans" w:hAnsi="Noto Sans" w:eastAsia="Arial Unicode MS" w:cs="Noto Sans"/>
                <w:sz w:val="17"/>
              </w:rPr>
              <w:t>Pomieszczenie 218, Budynek 3, ul. Tianjiao 336, Specjalna Strefa Wolnego Handlu Lin-gang, Chińska Republika Ludowa (Pilotowa Strefa Wolnego Handlu Szanghaj), Chiny</w:t>
            </w:r>
          </w:p>
        </w:tc>
      </w:tr>
    </w:tbl>
    <w:p>
      <w:pPr>
        <w:spacing w:after="40"/>
      </w:pPr>
    </w:p>
    <w:p>
      <w:pPr>
        <w:pStyle w:val="Heading1"/>
        <w:keepLines w:val="0"/>
      </w:pPr>
      <w:r>
        <w:rPr>
          <w:rFonts w:ascii="Noto Sans" w:hAnsi="Noto Sans" w:eastAsia="Arial Unicode MS" w:cs="Noto Sans"/>
          <w:b w:val="0"/>
        </w:rPr>
        <w:t>3. Oficjalne kanały mediów społecznościowych i komunikatorów</w:t>
      </w:r>
    </w:p>
    <w:p>
      <w:pPr>
        <w:keepLines w:val="0"/>
      </w:pPr>
      <w:r>
        <w:rPr>
          <w:rFonts w:ascii="Noto Sans" w:hAnsi="Noto Sans" w:eastAsia="Arial Unicode MS" w:cs="Noto Sans"/>
          <w:b w:val="0"/>
        </w:rPr>
        <w:t xml:space="preserve">Oficjalne nazwy, nazwy użytkowników i linki do platform mogą ulec zmianie. Otwórz wymienione kanały z sekcji Wsparcie lub Kontakt na stronie głównej; wyniki wyszukiwania, awatary czy licznicy obserwujących nie potwierdzają tożsamości. Zweryfikuj niepewne kontakty poprzez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Obsługiwane platformy mogą obejmować Facebooka, Threads, Instagrama, YouTube'a, X, Bluesky, Xiaohongshu, WeChat, Douyin oraz inne.</w:t>
      </w:r>
    </w:p>
    <w:p>
      <w:pPr>
        <w:pStyle w:val="ListBullet"/>
        <w:keepLines w:val="0"/>
      </w:pPr>
      <w:r>
        <w:rPr>
          <w:rFonts w:ascii="Noto Sans" w:hAnsi="Noto Sans" w:eastAsia="Arial Unicode MS" w:cs="Noto Sans"/>
          <w:b w:val="0"/>
        </w:rPr>
        <w:t>Jeśli konto na jakiejkolwiek platformie nie jest wymienione na oficjalnej stronie kanałów dawnbloom.net, nawet jeśli jego nazwa, zdjęcie profilowe lub treść wyglądają podobnie do oficjalnych, nie zakładaj, że jest to konto oficjalne wyłącznie na podstawie podobstwa wizualnego.</w:t>
      </w:r>
    </w:p>
    <w:p>
      <w:pPr>
        <w:pStyle w:val="ListBullet"/>
        <w:keepLines w:val="0"/>
      </w:pPr>
      <w:r>
        <w:rPr>
          <w:rFonts w:ascii="Noto Sans" w:hAnsi="Noto Sans" w:eastAsia="Arial Unicode MS" w:cs="Noto Sans"/>
          <w:b w:val="0"/>
        </w:rPr>
        <w:t>Każde dodanie, zawieszenie, przeniesienie lub zmiana nazwy oficjalnych kanałów będzie podlegać najnowszej oficjalnej informacji na dawnbloom.net.</w:t>
      </w:r>
    </w:p>
    <w:p>
      <w:pPr>
        <w:pStyle w:val="Heading1"/>
        <w:keepLines w:val="0"/>
      </w:pPr>
      <w:r>
        <w:rPr>
          <w:rFonts w:ascii="Noto Sans" w:hAnsi="Noto Sans" w:eastAsia="Arial Unicode MS" w:cs="Noto Sans"/>
          <w:b w:val="0"/>
        </w:rPr>
        <w:t>4. Rzeczy, których oficjalny pracownik nigdy nie poprosi Cię o zrobienie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Bądź czujny: personel obsługi klienta nigdy nie zażąda Twojego hasła do konta, jednorazowego kodu weryfikacyjnego ani hasła płatniczego za pośrednictwem wiadomości prywatnych. Nigdy też nie poproszą Cię o przelanie pieniędzy na konto osobiste pod pretekstem „odblokowania”, „zwrotu”, „odebrania nagród”, „przywrócenia sprzętu” lub „weryfikacji aktywów”.</w:t>
            </w:r>
          </w:p>
        </w:tc>
      </w:tr>
    </w:tbl>
    <w:p>
      <w:pPr>
        <w:spacing w:after="40"/>
      </w:pPr>
    </w:p>
    <w:p>
      <w:pPr>
        <w:keepLines w:val="0"/>
      </w:pPr>
      <w:r>
        <w:rPr>
          <w:rFonts w:ascii="Noto Sans" w:hAnsi="Noto Sans" w:eastAsia="Arial Unicode MS" w:cs="Noto Sans"/>
          <w:b w:val="0"/>
        </w:rPr>
        <w:t>Rotujące kody Tokenów, szczegóły odzyskiwania konta i rozmowy z Przewodnikiem Dawnbloom nigdy nie są podstawą do żądania hasła lub płatności na czacie prywatnym. Przewodnik Dawnbloom nie omija formalnych kontroli dla kont, aktywów, odwołań ani danych wewnętrznych.</w:t>
      </w:r>
    </w:p>
    <w:p>
      <w:pPr>
        <w:pStyle w:val="ListBullet"/>
        <w:keepLines w:val="0"/>
      </w:pPr>
      <w:r>
        <w:rPr>
          <w:rFonts w:ascii="Noto Sans" w:hAnsi="Noto Sans" w:eastAsia="Arial Unicode MS" w:cs="Noto Sans"/>
          <w:b w:val="0"/>
        </w:rPr>
        <w:t>Nigdy nie zażądamy Twojego hasła do konta w grze, hasła Apple ID, hasła Steam, hasła płatniczego WeChat/Alipay ani hasła karty bankowej.</w:t>
      </w:r>
    </w:p>
    <w:p>
      <w:pPr>
        <w:pStyle w:val="ListBullet"/>
        <w:keepLines w:val="0"/>
      </w:pPr>
      <w:r>
        <w:rPr>
          <w:rFonts w:ascii="Noto Sans" w:hAnsi="Noto Sans" w:eastAsia="Arial Unicode MS" w:cs="Noto Sans"/>
          <w:b w:val="0"/>
        </w:rPr>
        <w:t>Nigdy nie zażądamy Twojego kodu weryfikacji SMS, kodu weryfikacji e-mail, kodu uwierzytelniania dwuskładnikowego, dynamicznego klucza Lightseeker Token (jeśli włączony) ani żadnego innego jednorazowego kodu bezpieczeństwa.</w:t>
      </w:r>
    </w:p>
    <w:p>
      <w:pPr>
        <w:pStyle w:val="ListBullet"/>
        <w:keepLines w:val="0"/>
      </w:pPr>
      <w:r>
        <w:rPr>
          <w:rFonts w:ascii="Noto Sans" w:hAnsi="Noto Sans" w:eastAsia="Arial Unicode MS" w:cs="Noto Sans"/>
          <w:b w:val="0"/>
        </w:rPr>
        <w:t>Nigdy nie poprosimy Cię o włączenie udostępniania ekranu, zdalnego sterowania ani instalowanie nieznanego oprogramowania do pomocy zdalnej, plików APK, plików opisowych, rozszerzeń przeglądarki czy tak zwanych "wtyczek zabezpieczających".</w:t>
      </w:r>
    </w:p>
    <w:p>
      <w:pPr>
        <w:pStyle w:val="ListBullet"/>
        <w:keepLines w:val="0"/>
      </w:pPr>
      <w:r>
        <w:rPr>
          <w:rFonts w:ascii="Noto Sans" w:hAnsi="Noto Sans" w:eastAsia="Arial Unicode MS" w:cs="Noto Sans"/>
          <w:b w:val="0"/>
        </w:rPr>
        <w:t>Nie poprosimy Cię o przelanie Magic Coins, Phantom Beasts, sprzętu ani przedmiotów z gry na tak zwane "konto GM", "konto bezpieczne" lub "konto weryfikacyjne" w celu walidacji.</w:t>
      </w:r>
    </w:p>
    <w:p>
      <w:pPr>
        <w:pStyle w:val="ListBullet"/>
        <w:keepLines w:val="0"/>
      </w:pPr>
      <w:r>
        <w:rPr>
          <w:rFonts w:ascii="Noto Sans" w:hAnsi="Noto Sans" w:eastAsia="Arial Unicode MS" w:cs="Noto Sans"/>
          <w:b w:val="0"/>
        </w:rPr>
        <w:t>Nigdy nie poprosimy Cię o dokonanie płatności przez osobisty WeChat, osobiste Alipay, prywatną kartę bankową, kartę podarunkową, adres kryptowaluty ani jakikolwiek inny nieoficjalny kanał płatności.</w:t>
      </w:r>
    </w:p>
    <w:p>
      <w:pPr>
        <w:pStyle w:val="ListBullet"/>
        <w:keepLines w:val="0"/>
      </w:pPr>
      <w:r>
        <w:rPr>
          <w:rFonts w:ascii="Noto Sans" w:hAnsi="Noto Sans" w:eastAsia="Arial Unicode MS" w:cs="Noto Sans"/>
          <w:b w:val="0"/>
        </w:rPr>
        <w:t>Nigdy nie poprosimy o dodatkowe płatności pod pretekstem "przelewu przed zwrotem", "wpłacenia zaliczki", "opłaty za odblokowanie konta", "opłaty za zwolnienie kary", "opłaty za weryfikację" czy "opłaty za obsługę odbioru nagrody".</w:t>
      </w:r>
    </w:p>
    <w:p>
      <w:pPr>
        <w:pStyle w:val="ListBullet"/>
        <w:keepLines w:val="0"/>
      </w:pPr>
      <w:r>
        <w:rPr>
          <w:rFonts w:ascii="Noto Sans" w:hAnsi="Noto Sans" w:eastAsia="Arial Unicode MS" w:cs="Noto Sans"/>
          <w:b w:val="0"/>
        </w:rPr>
        <w:t>Nigdy nie poprosimy Cię o ponowne zalogowanie się na swoje konto w grze lub wprowadzenie pełnych danych płatniczych poprzez nieoficjalne linki.</w:t>
      </w:r>
    </w:p>
    <w:p>
      <w:pPr>
        <w:pStyle w:val="ListBullet"/>
        <w:keepLines w:val="0"/>
      </w:pPr>
      <w:r>
        <w:rPr>
          <w:rFonts w:ascii="Noto Sans" w:hAnsi="Noto Sans" w:eastAsia="Arial Unicode MS" w:cs="Noto Sans"/>
          <w:b w:val="0"/>
        </w:rPr>
        <w:t>Nigdy nie obiecujemy prywatnych, płatnych modyfikacji kar, zwiększenia szans na wygraną, rozdysponowania rzadkich przedmiotów ani omijania oficjalnych zasad.</w:t>
      </w:r>
    </w:p>
    <w:p>
      <w:pPr>
        <w:pStyle w:val="Heading1"/>
        <w:keepLines w:val="0"/>
      </w:pPr>
      <w:r>
        <w:rPr>
          <w:rFonts w:ascii="Noto Sans" w:hAnsi="Noto Sans" w:eastAsia="Arial Unicode MS" w:cs="Noto Sans"/>
          <w:b w:val="0"/>
        </w:rPr>
        <w:t>Pięć. Powszechne metody podszywania się</w:t>
      </w:r>
    </w:p>
    <w:p>
      <w:pPr>
        <w:pStyle w:val="ListBullet"/>
        <w:keepLines w:val="0"/>
      </w:pPr>
      <w:r>
        <w:rPr>
          <w:rFonts w:ascii="Noto Sans" w:hAnsi="Noto Sans" w:eastAsia="Arial Unicode MS" w:cs="Noto Sans"/>
          <w:b w:val="0"/>
        </w:rPr>
        <w:t>Używa domen, pisowni, subdomen lub krótkich linków niezwykle podobnych do dawnbloom.net, aby kuszyć graczy do logowania się.</w:t>
      </w:r>
    </w:p>
    <w:p>
      <w:pPr>
        <w:keepLines w:val="0"/>
      </w:pPr>
      <w:r>
        <w:rPr>
          <w:rFonts w:ascii="Noto Sans" w:hAnsi="Noto Sans" w:eastAsia="Arial Unicode MS" w:cs="Noto Sans"/>
          <w:b w:val="0"/>
        </w:rPr>
        <w:t>Fałszywe strony internetowe, listy w sklepach, pliki APK lub EXE, aktualizacje przeglądarki, klienci News lub Mail, narzędzia Download lub Archive, strony Token oraz usługi Dawnbloom Guide mogą żądać danych uwierzytelniających lub instalować złośliwe oprogramowanie. Ufać należy dawnbloom.net oraz oficjalnym sklepom, do których wyraźnie prowadzi; Google Drive i Baidu Netdisk nie są aktualnymi oficjalnymi lustrzanymi odbiciami.</w:t>
      </w:r>
    </w:p>
    <w:p>
      <w:pPr>
        <w:pStyle w:val="ListBullet"/>
        <w:keepLines w:val="0"/>
      </w:pPr>
      <w:r>
        <w:rPr>
          <w:rFonts w:ascii="Noto Sans" w:hAnsi="Noto Sans" w:eastAsia="Arial Unicode MS" w:cs="Noto Sans"/>
          <w:b w:val="0"/>
        </w:rPr>
        <w:t>Kopiuje oficjalne awatary, logo, skrypty obsługi klienta i obrazy ogłoszeń, aby tworzyć wiernodające konta w mediach społecznościowych, czaty grupowe lub strony płatności.</w:t>
      </w:r>
    </w:p>
    <w:p>
      <w:pPr>
        <w:pStyle w:val="ListBullet"/>
        <w:keepLines w:val="0"/>
      </w:pPr>
      <w:r>
        <w:rPr>
          <w:rFonts w:ascii="Noto Sans" w:hAnsi="Noto Sans" w:eastAsia="Arial Unicode MS" w:cs="Noto Sans"/>
          <w:b w:val="0"/>
        </w:rPr>
        <w:t>Przechwytuje role GMów, obsługi klienta, administratorów, współpracujących streamerów lub "personelu wewnętrznego", twierdząc o ryzyku dla kont i wywołując poczucie pilności.</w:t>
      </w:r>
    </w:p>
    <w:p>
      <w:pPr>
        <w:pStyle w:val="ListBullet"/>
        <w:keepLines w:val="0"/>
      </w:pPr>
      <w:r>
        <w:rPr>
          <w:rFonts w:ascii="Noto Sans" w:hAnsi="Noto Sans" w:eastAsia="Arial Unicode MS" w:cs="Noto Sans"/>
          <w:b w:val="0"/>
        </w:rPr>
        <w:t>Wykorzystuje przynęty takie jak "za darmo magiczne monety", "rzadkie bestie fantomowe", "wygrane nagrody", "uprawnienia do testowania", "rekompensata zwrotu" lub "wewnętrzne zestawy prezentów", aby wysyłać kody QR lub linki.</w:t>
      </w:r>
    </w:p>
    <w:p>
      <w:pPr>
        <w:pStyle w:val="ListBullet"/>
        <w:keepLines w:val="0"/>
      </w:pPr>
      <w:r>
        <w:rPr>
          <w:rFonts w:ascii="Noto Sans" w:hAnsi="Noto Sans" w:eastAsia="Arial Unicode MS" w:cs="Noto Sans"/>
          <w:b w:val="0"/>
        </w:rPr>
        <w:t>Przechwytuje rolę obsługi klienta i proaktywnie dodaje Cię jako znajomego, żądając kodów weryfikacyjnych, zrzutów ekranu aktywów, udostępniania ekranu lub przelewów.</w:t>
      </w:r>
    </w:p>
    <w:p>
      <w:pPr>
        <w:pStyle w:val="ListBullet"/>
        <w:keepLines w:val="0"/>
      </w:pPr>
      <w:r>
        <w:rPr>
          <w:rFonts w:ascii="Noto Sans" w:hAnsi="Noto Sans" w:eastAsia="Arial Unicode MS" w:cs="Noto Sans"/>
          <w:b w:val="0"/>
        </w:rPr>
        <w:t>Wykorzystuje skradzione konta znajomych do wysyłania linków lub plików, sprawiając, że źródło wydaje się legalne.</w:t>
      </w:r>
    </w:p>
    <w:p>
      <w:pPr>
        <w:pStyle w:val="Heading1"/>
        <w:keepLines w:val="0"/>
      </w:pPr>
      <w:r>
        <w:rPr>
          <w:rFonts w:ascii="Noto Sans" w:hAnsi="Noto Sans" w:eastAsia="Arial Unicode MS" w:cs="Noto Sans"/>
          <w:b w:val="0"/>
        </w:rPr>
        <w:t>Sekcja sześć: Płatności i bezpieczeństwo w centrum handlowym</w:t>
      </w:r>
    </w:p>
    <w:p>
      <w:pPr>
        <w:keepLines w:val="0"/>
      </w:pPr>
      <w:r>
        <w:rPr>
          <w:rFonts w:ascii="Noto Sans" w:hAnsi="Noto Sans" w:eastAsia="Arial Unicode MS" w:cs="Noto Sans"/>
          <w:b w:val="0"/>
        </w:rPr>
        <w:t>Wszystkie oficjalne towary cyfrowe, skrzynie i inny content w sklepie będą regulowane przez wyświetlanie na oficjalnej stronie internetowej oraz oficjalnych punktach wejścia w grze. Gracze muszą dokonywać płatności poprzez oficjalną stronę internetową lub za pośrednictwem wyznaczonych zewnętrznych płatników/magazynów aplikacji wymienionych przez oficjalne podmioty.</w:t>
      </w:r>
    </w:p>
    <w:p>
      <w:pPr>
        <w:keepLines w:val="0"/>
      </w:pPr>
      <w:r>
        <w:rPr>
          <w:rFonts w:ascii="Noto Sans" w:hAnsi="Noto Sans" w:eastAsia="Arial Unicode MS" w:cs="Noto Sans"/>
          <w:b w:val="0"/>
        </w:rPr>
        <w:t xml:space="preserve">Jeśli strona zamówienia, odbiorca płatności, kwota, domena lub adres URL przekierowania znacząco różnią się od tych publicznie udostępnionych na oficjalnej stronie internetowej, należy wstrzymać wszystkie transakcje i zweryfikować je poprzez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lub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Żadne nieoficjalne płatności prywatne offline ani prywatne usługi „doładowania w grze” nie są uznawane za oficjalne transakcje.</w:t>
      </w:r>
    </w:p>
    <w:p>
      <w:pPr>
        <w:pStyle w:val="Heading1"/>
        <w:keepLines w:val="0"/>
      </w:pPr>
      <w:r>
        <w:rPr>
          <w:rFonts w:ascii="Noto Sans" w:hAnsi="Noto Sans" w:eastAsia="Arial Unicode MS" w:cs="Noto Sans"/>
          <w:b w:val="0"/>
        </w:rPr>
        <w:t>Sekcja siedem: Co robić przy otrzymaniu podejrzanych wiadomości</w:t>
      </w:r>
    </w:p>
    <w:p>
      <w:pPr>
        <w:pStyle w:val="ListBullet"/>
        <w:keepLines w:val="0"/>
      </w:pPr>
      <w:r>
        <w:rPr>
          <w:rFonts w:ascii="Noto Sans" w:hAnsi="Noto Sans" w:eastAsia="Arial Unicode MS" w:cs="Noto Sans"/>
          <w:b w:val="0"/>
        </w:rPr>
        <w:t>Nie kontynuuj: Nie klikaj linków, nie skanuj kodów QR, nie pobieraj plików, nie wprowadzaj informacji o koncie ani nie dokonuj płatności.</w:t>
      </w:r>
    </w:p>
    <w:p>
      <w:pPr>
        <w:pStyle w:val="ListBullet"/>
        <w:keepLines w:val="0"/>
      </w:pPr>
      <w:r>
        <w:rPr>
          <w:rFonts w:ascii="Noto Sans" w:hAnsi="Noto Sans" w:eastAsia="Arial Unicode MS" w:cs="Noto Sans"/>
          <w:b w:val="0"/>
        </w:rPr>
        <w:t>Zachowaj dowody: Zapisz stronę główną swojego konta, zapisy czatu, linki, kody QR, strony przelewów, numery zamówień i znaczniki czasu.</w:t>
      </w:r>
    </w:p>
    <w:p>
      <w:pPr>
        <w:pStyle w:val="ListBullet"/>
        <w:keepLines w:val="0"/>
      </w:pPr>
      <w:r>
        <w:rPr>
          <w:rFonts w:ascii="Noto Sans" w:hAnsi="Noto Sans" w:eastAsia="Arial Unicode MS" w:cs="Noto Sans"/>
          <w:b w:val="0"/>
        </w:rPr>
        <w:t>Wpisz samodzielnie adres głównej witryny i użyj nawigacji do Player Center, Support lub Downloads. Nie polegaj na etykietce linku obcego. Zaloguj się przez główne Player Center; otwórz odzyskiwanie i kontrolę wrażliwych danych z Support Account Management. Używaj głównej witryny shop, recharge i billing entries do płatności i zamówień, sprawdzając rzeczywistą dostępność i dowolną platformę płatniczą na tych stronach.</w:t>
      </w:r>
    </w:p>
    <w:p>
      <w:pPr>
        <w:pStyle w:val="ListBullet"/>
        <w:keepLines w:val="0"/>
      </w:pPr>
      <w:r>
        <w:rPr>
          <w:rFonts w:ascii="Noto Sans" w:hAnsi="Noto Sans" w:eastAsia="Arial Unicode MS" w:cs="Noto Sans"/>
          <w:b w:val="0"/>
        </w:rPr>
        <w:t>Jeśli informacje o koncie zostały już wprowadzone: natychmiast zmień hasło, wyloguj się ze wszystkich innych aktywnych sesji i zweryfikuj bezpieczeństwo powiązanych kont e-mail, Apple, Steam, WeChat i innych kont osób trzecich.</w:t>
      </w:r>
    </w:p>
    <w:p>
      <w:pPr>
        <w:pStyle w:val="ListBullet"/>
        <w:keepLines w:val="0"/>
      </w:pPr>
      <w:r>
        <w:rPr>
          <w:rFonts w:ascii="Noto Sans" w:hAnsi="Noto Sans" w:eastAsia="Arial Unicode MS" w:cs="Noto Sans"/>
          <w:b w:val="0"/>
        </w:rPr>
        <w:t>Jeśli płatność została już dokonana: niezwłocznie skontaktuj się z platformą płatniczą, bankiem emitującym lub odpowiednią instytucją finansową w celu żądania zatrzymania płatności, odwołania lub zamrożenia środków; w sprawach dotyczących dużych kwot lub podejrzanej działalności przestępczej natychmiast zgłoś incydent do lokalnych organów policji.</w:t>
      </w:r>
    </w:p>
    <w:p>
      <w:pPr>
        <w:pStyle w:val="ListBullet"/>
        <w:keepLines w:val="0"/>
      </w:pPr>
      <w:r>
        <w:rPr>
          <w:rFonts w:ascii="Noto Sans" w:hAnsi="Noto Sans" w:eastAsia="Arial Unicode MS" w:cs="Noto Sans"/>
          <w:b w:val="0"/>
        </w:rPr>
        <w:t>W przypadku wykrycia fałszywego konta: zgłoś je na odpowiedniej platformie i prześlij link do strony do oficjalnej obsługi klienta w celu dalszej weryfikacji i ujawnienia publicznego.</w:t>
      </w:r>
    </w:p>
    <w:p>
      <w:pPr>
        <w:pStyle w:val="Heading1"/>
        <w:keepLines w:val="0"/>
      </w:pPr>
      <w:r>
        <w:rPr>
          <w:rFonts w:ascii="Noto Sans" w:hAnsi="Noto Sans" w:eastAsia="Arial Unicode MS" w:cs="Noto Sans"/>
          <w:b w:val="0"/>
        </w:rPr>
        <w:t>Osiem. Informacje, które oficjalny pracownik może zażądać do weryfikacji</w:t>
      </w:r>
    </w:p>
    <w:p>
      <w:pPr>
        <w:keepLines w:val="0"/>
      </w:pPr>
      <w:r>
        <w:rPr>
          <w:rFonts w:ascii="Noto Sans" w:hAnsi="Noto Sans" w:eastAsia="Arial Unicode MS" w:cs="Noto Sans"/>
          <w:b w:val="0"/>
        </w:rPr>
        <w:t>W celu rozwiązania problemów związanych z kontem, zamówieniami, kradzieżą konta, nietypowymi transakcjami lub sporami z obsługą klienta, oficjalni przedstawiciele mogą poprosić Cię o podanie niezbędnych danych weryfikacyjnych, takich jak: nazwa konta, nazwa postaci/ID postaci, numer zamówienia, czas wystąpienia incydentu, szczegóły urządzenia lub logowania, zrzuty ekranu z gry, odpowiednie zrzuty ekranu czatu oraz Twoje aktywnie przesłane dane kontaktowe.</w:t>
      </w:r>
    </w:p>
    <w:p>
      <w:pPr>
        <w:keepLines w:val="0"/>
      </w:pPr>
      <w:r>
        <w:rPr>
          <w:rFonts w:ascii="Noto Sans" w:hAnsi="Noto Sans" w:eastAsia="Arial Unicode MS" w:cs="Noto Sans"/>
          <w:b w:val="0"/>
        </w:rPr>
        <w:t>Stosujemy się do zasady minimalnego niezbędnego zakresu danych i nie będziemy żądać żadnych poufnych danych o wysokim ryzyku niezwiązanych z danym problemem. W szczególności nigdy nie będziemy żądać Twojego hasła do konta, hasła płatniczego ani jednorazowego kodu weryfikacyjnego.</w:t>
      </w:r>
    </w:p>
    <w:p>
      <w:pPr>
        <w:pStyle w:val="Heading1"/>
        <w:keepLines w:val="0"/>
      </w:pPr>
      <w:r>
        <w:rPr>
          <w:rFonts w:ascii="Noto Sans" w:hAnsi="Noto Sans" w:eastAsia="Arial Unicode MS" w:cs="Noto Sans"/>
          <w:b w:val="0"/>
        </w:rPr>
        <w:t>Dziewięć. Priorytet komunikacji oficjalnej</w:t>
      </w:r>
    </w:p>
    <w:p>
      <w:pPr>
        <w:keepLines w:val="0"/>
      </w:pPr>
      <w:r>
        <w:rPr>
          <w:rFonts w:ascii="Noto Sans" w:hAnsi="Noto Sans" w:eastAsia="Arial Unicode MS" w:cs="Noto Sans"/>
          <w:b w:val="0"/>
        </w:rPr>
        <w:t>W przypadku rozbieżności między informacjami rozpowszechnianymi za pośrednictwem różnych platform społecznościowych, relacjami graczy, zrzutami ekranu z czatów grupowych lub stronami internetowymi osób trzecich, pierwszeństwo mają oficjalne ogłoszenia na dawnbloom.net, odpowiednie dokumenty prawne oraz oficjalne komunikaty w grze. Indywidualne oświadczenia graczy, streamerów, administratorów grup, wolontariuszy, partnerów lub członków społeczności nie stanowią oficjalnego reprezentowania stanowiska DAWNBLOOM(DAWNBLOOM).</w:t>
      </w:r>
    </w:p>
    <w:p>
      <w:pPr>
        <w:pStyle w:val="Heading1"/>
        <w:keepLines w:val="0"/>
      </w:pPr>
      <w:r>
        <w:rPr>
          <w:rFonts w:ascii="Noto Sans" w:hAnsi="Noto Sans" w:eastAsia="Arial Unicode MS" w:cs="Noto Sans"/>
          <w:b w:val="0"/>
        </w:rPr>
        <w:t>Dziesięć. Karta szybkiej identyfikacji oszustw</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Jeśli osoba mówi następujące:</w:t>
            </w:r>
          </w:p>
        </w:tc>
        <w:tc>
          <w:tcPr>
            <w:tcW w:type="dxa" w:w="4873"/>
            <w:vAlign w:val="center"/>
            <w:shd w:fill="DCE8F7"/>
          </w:tcPr>
          <w:p>
            <w:pPr>
              <w:keepNext/>
              <w:spacing w:after="40"/>
            </w:pPr>
            <w:r>
              <w:rPr>
                <w:rFonts w:ascii="Noto Sans" w:hAnsi="Noto Sans" w:eastAsia="Arial Unicode MS" w:cs="Noto Sans"/>
                <w:b/>
                <w:sz w:val="17"/>
              </w:rPr>
              <w:t>Twoja pierwsza reakcja powinna być taka:</w:t>
            </w:r>
          </w:p>
        </w:tc>
      </w:tr>
      <w:tr>
        <w:trPr>
          <w:cantSplit/>
        </w:trPr>
        <w:tc>
          <w:tcPr>
            <w:tcW w:type="dxa" w:w="4873"/>
            <w:vAlign w:val="center"/>
          </w:tcPr>
          <w:p>
            <w:pPr>
              <w:spacing w:after="40"/>
            </w:pPr>
            <w:r>
              <w:rPr>
                <w:rFonts w:ascii="Noto Sans" w:hAnsi="Noto Sans" w:eastAsia="Arial Unicode MS" w:cs="Noto Sans"/>
                <w:sz w:val="17"/>
              </w:rPr>
              <w:t>"Anomalia konta – wyślij mi kod weryfikacyjny."</w:t>
            </w:r>
          </w:p>
        </w:tc>
        <w:tc>
          <w:tcPr>
            <w:tcW w:type="dxa" w:w="4873"/>
            <w:vAlign w:val="center"/>
          </w:tcPr>
          <w:p>
            <w:pPr>
              <w:spacing w:after="40"/>
            </w:pPr>
            <w:r>
              <w:rPr>
                <w:rFonts w:ascii="Noto Sans" w:hAnsi="Noto Sans" w:eastAsia="Arial Unicode MS" w:cs="Noto Sans"/>
                <w:sz w:val="17"/>
              </w:rPr>
              <w:t>Nie wysyłaj. Oficjalne kanały nigdy nie będą żądać jednorazowego kodu weryfikacyjnego.</w:t>
            </w:r>
          </w:p>
        </w:tc>
      </w:tr>
      <w:tr>
        <w:trPr>
          <w:cantSplit/>
        </w:trPr>
        <w:tc>
          <w:tcPr>
            <w:tcW w:type="dxa" w:w="4873"/>
            <w:vAlign w:val="center"/>
          </w:tcPr>
          <w:p>
            <w:pPr>
              <w:spacing w:after="40"/>
            </w:pPr>
            <w:r>
              <w:rPr>
                <w:rFonts w:ascii="Noto Sans" w:hAnsi="Noto Sans" w:eastAsia="Arial Unicode MS" w:cs="Noto Sans"/>
                <w:sz w:val="17"/>
              </w:rPr>
              <w:t>"Najpierw przekaż środki; po zwrocie pieniędzy oddamy je razem."</w:t>
            </w:r>
          </w:p>
        </w:tc>
        <w:tc>
          <w:tcPr>
            <w:tcW w:type="dxa" w:w="4873"/>
            <w:vAlign w:val="center"/>
          </w:tcPr>
          <w:p>
            <w:pPr>
              <w:spacing w:after="40"/>
            </w:pPr>
            <w:r>
              <w:rPr>
                <w:rFonts w:ascii="Noto Sans" w:hAnsi="Noto Sans" w:eastAsia="Arial Unicode MS" w:cs="Noto Sans"/>
                <w:sz w:val="17"/>
              </w:rPr>
              <w:t>Nie płać. Oficjalne zwroty nigdy nie wymagają od Ciebie wcześniejszego przesyłania pieniędzy na konto osobiste.</w:t>
            </w:r>
          </w:p>
        </w:tc>
      </w:tr>
      <w:tr>
        <w:trPr>
          <w:cantSplit/>
        </w:trPr>
        <w:tc>
          <w:tcPr>
            <w:tcW w:type="dxa" w:w="4873"/>
            <w:vAlign w:val="center"/>
          </w:tcPr>
          <w:p>
            <w:pPr>
              <w:spacing w:after="40"/>
            </w:pPr>
            <w:r>
              <w:rPr>
                <w:rFonts w:ascii="Noto Sans" w:hAnsi="Noto Sans" w:eastAsia="Arial Unicode MS" w:cs="Noto Sans"/>
                <w:sz w:val="17"/>
              </w:rPr>
              <w:t>"Przekaż swoje fantomowe bestie lub sprzęt na bezpieczne konto w celu inspekcji."</w:t>
            </w:r>
          </w:p>
        </w:tc>
        <w:tc>
          <w:tcPr>
            <w:tcW w:type="dxa" w:w="4873"/>
            <w:vAlign w:val="center"/>
          </w:tcPr>
          <w:p>
            <w:pPr>
              <w:spacing w:after="40"/>
            </w:pPr>
            <w:r>
              <w:rPr>
                <w:rFonts w:ascii="Noto Sans" w:hAnsi="Noto Sans" w:eastAsia="Arial Unicode MS" w:cs="Noto Sans"/>
                <w:sz w:val="17"/>
              </w:rPr>
              <w:t>Nie przekazuj. Oficjalne kanały nigdy nie będą żądać weryfikacji aktywów za pośrednictwem kont postaci graczy.</w:t>
            </w:r>
          </w:p>
        </w:tc>
      </w:tr>
      <w:tr>
        <w:trPr>
          <w:cantSplit/>
        </w:trPr>
        <w:tc>
          <w:tcPr>
            <w:tcW w:type="dxa" w:w="4873"/>
            <w:vAlign w:val="center"/>
          </w:tcPr>
          <w:p>
            <w:pPr>
              <w:spacing w:after="40"/>
            </w:pPr>
            <w:r>
              <w:rPr>
                <w:rFonts w:ascii="Noto Sans" w:hAnsi="Noto Sans" w:eastAsia="Arial Unicode MS" w:cs="Noto Sans"/>
                <w:sz w:val="17"/>
              </w:rPr>
              <w:t>"Kliknij ten link, aby odebrać swoją nagrodę."</w:t>
            </w:r>
          </w:p>
        </w:tc>
        <w:tc>
          <w:tcPr>
            <w:tcW w:type="dxa" w:w="4873"/>
            <w:vAlign w:val="center"/>
          </w:tcPr>
          <w:p>
            <w:pPr>
              <w:spacing w:after="40"/>
            </w:pPr>
            <w:r>
              <w:rPr>
                <w:rFonts w:ascii="Noto Sans" w:hAnsi="Noto Sans" w:eastAsia="Arial Unicode MS" w:cs="Noto Sans"/>
                <w:sz w:val="17"/>
              </w:rPr>
              <w:t>Najpierw zweryfikuj, czy link należy do dawnbloom.net lub jest wyraźnie wymieniony jako oficjalny punkt wejścia na oficjalnej stronie internetowej.</w:t>
            </w:r>
          </w:p>
        </w:tc>
      </w:tr>
      <w:tr>
        <w:trPr>
          <w:cantSplit/>
        </w:trPr>
        <w:tc>
          <w:tcPr>
            <w:tcW w:type="dxa" w:w="4873"/>
            <w:vAlign w:val="center"/>
          </w:tcPr>
          <w:p>
            <w:pPr>
              <w:spacing w:after="40"/>
            </w:pPr>
            <w:r>
              <w:rPr>
                <w:rFonts w:ascii="Noto Sans" w:hAnsi="Noto Sans" w:eastAsia="Arial Unicode MS" w:cs="Noto Sans"/>
                <w:sz w:val="17"/>
              </w:rPr>
              <w:t>"Jestem GM-em; dodaj mój prywatny kontakt do obsługi."</w:t>
            </w:r>
          </w:p>
        </w:tc>
        <w:tc>
          <w:tcPr>
            <w:tcW w:type="dxa" w:w="4873"/>
            <w:vAlign w:val="center"/>
          </w:tcPr>
          <w:p>
            <w:pPr>
              <w:spacing w:after="40"/>
            </w:pPr>
            <w:r>
              <w:rPr>
                <w:rFonts w:ascii="Noto Sans" w:hAnsi="Noto Sans" w:eastAsia="Arial Unicode MS" w:cs="Noto Sans"/>
                <w:sz w:val="17"/>
              </w:rPr>
              <w:t>Zawsze najpierw uzyskaj dostęp do portalu obsługi klienta na oficjalnej stronie internetowej i zweryfikuj tożsamość osoby twierdzącej, że jest GM-em.</w:t>
            </w:r>
          </w:p>
        </w:tc>
      </w:tr>
      <w:tr>
        <w:trPr>
          <w:cantSplit/>
        </w:trPr>
        <w:tc>
          <w:tcPr>
            <w:tcW w:type="dxa" w:w="4873"/>
            <w:vAlign w:val="center"/>
          </w:tcPr>
          <w:p>
            <w:pPr>
              <w:spacing w:after="40"/>
            </w:pPr>
            <w:r>
              <w:rPr>
                <w:rFonts w:ascii="Noto Sans" w:hAnsi="Noto Sans" w:eastAsia="Arial Unicode MS" w:cs="Noto Sans"/>
                <w:sz w:val="17"/>
              </w:rPr>
              <w:t>"Jeśli nie działamy natychmiast, karaliśmy cię trwale."</w:t>
            </w:r>
          </w:p>
        </w:tc>
        <w:tc>
          <w:tcPr>
            <w:tcW w:type="dxa" w:w="4873"/>
            <w:vAlign w:val="center"/>
          </w:tcPr>
          <w:p>
            <w:pPr>
              <w:spacing w:after="40"/>
            </w:pPr>
            <w:r>
              <w:rPr>
                <w:rFonts w:ascii="Noto Sans" w:hAnsi="Noto Sans" w:eastAsia="Arial Unicode MS" w:cs="Noto Sans"/>
                <w:sz w:val="17"/>
              </w:rPr>
              <w:t>Nie poddawaj się presji. Natychmiast zaprzestań wszelkich działań i zweryfikuj informacje na oficjalnej stronie internetowej.</w:t>
            </w:r>
          </w:p>
        </w:tc>
      </w:tr>
    </w:tbl>
    <w:p>
      <w:pPr>
        <w:spacing w:after="40"/>
      </w:pPr>
    </w:p>
    <w:p>
      <w:pPr>
        <w:pStyle w:val="Heading1"/>
        <w:keepLines w:val="0"/>
      </w:pPr>
      <w:r>
        <w:rPr>
          <w:rFonts w:ascii="Noto Sans" w:hAnsi="Noto Sans" w:eastAsia="Arial Unicode MS" w:cs="Noto Sans"/>
          <w:b w:val="0"/>
        </w:rPr>
        <w:t>Proszę pamiętać</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Prawdziwe oficjalne kanały nie boją się, że "najpierw zweryfikujesz to na oficjalnej stronie internetowej". Każdy, kto nakłania Cię do omijania oficjalnej strony internetowej, platformy lub normalnych procesów płatności, powinien być traktowany z ostrożnością.</w:t>
              <w:br/>
              <w:br/>
              <w:t>Jeśli masz wątpliwości co do autentyczności wiadomości, zaprzestań wszelkich działań i zweryfikuj ją za pomocą support@dawnbloom.net lub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Oficjalne Kanały DAWNBLOOM &amp; Ostrzeżenie Antyoszustw</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