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Informacje prawne i zastrzeżenia DAWNBLOOM</w:t>
      </w:r>
    </w:p>
    <w:p>
      <w:pPr>
        <w:keepLines w:val="0"/>
      </w:pPr>
      <w:r>
        <w:rPr>
          <w:rFonts w:ascii="Noto Sans" w:hAnsi="Noto Sans" w:eastAsia="Arial Unicode MS" w:cs="Noto Sans"/>
          <w:b w:val="0"/>
        </w:rPr>
        <w:t>Wersja oficjalna</w:t>
      </w:r>
    </w:p>
    <w:p>
      <w:pPr>
        <w:keepLines w:val="0"/>
      </w:pPr>
      <w:r>
        <w:rPr>
          <w:rFonts w:ascii="Noto Sans" w:hAnsi="Noto Sans" w:eastAsia="Arial Unicode MS" w:cs="Noto Sans"/>
          <w:b w:val="0"/>
        </w:rPr>
        <w:t>Wersja: V8</w:t>
      </w:r>
    </w:p>
    <w:p>
      <w:pPr>
        <w:keepLines w:val="0"/>
      </w:pPr>
      <w:r>
        <w:rPr>
          <w:rFonts w:ascii="Noto Sans" w:hAnsi="Noto Sans" w:eastAsia="Arial Unicode MS" w:cs="Noto Sans"/>
          <w:b w:val="0"/>
        </w:rPr>
        <w:t>Data wejścia w życie: 10 października 2026 r.</w:t>
      </w:r>
    </w:p>
    <w:p>
      <w:pPr>
        <w:keepLines w:val="0"/>
      </w:pPr>
      <w:r>
        <w:rPr>
          <w:rFonts w:ascii="Noto Sans" w:hAnsi="Noto Sans" w:eastAsia="Arial Unicode MS" w:cs="Noto Sans"/>
          <w:b w:val="0"/>
        </w:rPr>
        <w:t>Data aktualizacji: 10 października 2026 r.</w:t>
      </w:r>
    </w:p>
    <w:p>
      <w:pPr>
        <w:keepLines w:val="0"/>
      </w:pPr>
      <w:r>
        <w:rPr>
          <w:rFonts w:ascii="Noto Sans" w:hAnsi="Noto Sans" w:eastAsia="Arial Unicode MS" w:cs="Noto Sans"/>
          <w:b w:val="0"/>
        </w:rPr>
        <w:t xml:space="preserve">Strony objęte dokumentem: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i oficjalne subdomeny</w:t>
      </w:r>
    </w:p>
    <w:p>
      <w:pPr>
        <w:keepLines w:val="0"/>
      </w:pPr>
      <w:r>
        <w:rPr>
          <w:rFonts w:ascii="Noto Sans" w:hAnsi="Noto Sans" w:eastAsia="Arial Unicode MS" w:cs="Noto Sans"/>
          <w:b w:val="0"/>
        </w:rPr>
        <w:t>Zakres marek: siedem produktów DAWNBLOOM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Lokalizacja pliku</w:t>
              <w:br/>
              <w:t>Niniejszy dokument pełni funkcję oficjalnej bramy prawnej na stronie internetowej: zapewniając publiczny dostęp do jednostki operacyjnej i oficjalnych kanałów, oświadczeń dotyczących praw autorskich i znaków towarowych, identyfikatorów stron trzecich, procedur zgłaszania naruszeń, otwartego licencjonowania do ponownego publikowania, deklaracji oprogramowania open-source, wyjaśnień usługi gracza AI oraz innych zastrzeżeń prawnych. Osobne, dedykowane dokumenty regulują polityki prywatności, zachowanie graczy, korzystanie z witryny, bezpieczeństwo konta oraz kwestie sprzedaży i zwrotów.</w:t>
            </w:r>
          </w:p>
        </w:tc>
      </w:tr>
    </w:tbl>
    <w:p>
      <w:pPr>
        <w:spacing w:after="40"/>
      </w:pPr>
    </w:p>
    <w:p>
      <w:pPr>
        <w:pStyle w:val="Heading1"/>
        <w:keepLines w:val="0"/>
      </w:pPr>
      <w:r>
        <w:rPr>
          <w:rFonts w:ascii="Noto Sans" w:hAnsi="Noto Sans" w:eastAsia="Arial Unicode MS" w:cs="Noto Sans"/>
          <w:b w:val="0"/>
        </w:rPr>
        <w:t>1. Oficjalna tożsamość, jednostka operacyjna oraz dostęp do dokumentów prawnych</w:t>
      </w:r>
    </w:p>
    <w:p>
      <w:pPr>
        <w:keepLines w:val="0"/>
      </w:pPr>
      <w:r>
        <w:rPr>
          <w:rFonts w:ascii="Noto Sans" w:hAnsi="Noto Sans" w:eastAsia="Arial Unicode MS" w:cs="Noto Sans"/>
          <w:b w:val="0"/>
        </w:rPr>
        <w:t>DAWNBLOOM jest obsługiwany przez Shanghai Zhui Guang Zhi Chuang Cultural Media Co., Ltd. Tabela identyfikuje jego jedyną globalną witrynę internetową oraz regionalne punkty wejścia językowe. Wejścia regionalne prowadzą wyłącznie do głównej strony i nie tworzą oddzielnej jednostki operacyjnej, konta, usługi płatniczej lub pobierania ani bazy danych. Operator dostarczył tożsamość rejestracyjną firmy dla wejścia chińskiego. Wejście japońskie zostało zarejestrowane przy pomocy; jego zarejestrowany właściciel i formalna autoryzacja pozostają do weryfikacji. Niniejszy dokument nie rości sobie prawa własności do domeny japońskiej. Przyrostki domenowe nie ustanawiają hostingu w Chinach kontynentalnych ani zgłoszenia ICP, ani korporacji japońskiej ani jej filii. Inne strony, grupy, sklepy i konta społecznościowe są oficjalne tylko wtedy, gdy wyraźnie wymienione przez główną stronę.</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Projekt</w:t>
            </w:r>
          </w:p>
        </w:tc>
        <w:tc>
          <w:tcPr>
            <w:tcW w:type="dxa" w:w="4873"/>
            <w:vAlign w:val="center"/>
            <w:shd w:fill="DCE8F7"/>
          </w:tcPr>
          <w:p>
            <w:pPr>
              <w:keepNext/>
              <w:spacing w:after="40"/>
            </w:pPr>
            <w:r>
              <w:rPr>
                <w:rFonts w:ascii="Noto Sans" w:hAnsi="Noto Sans" w:eastAsia="Arial Unicode MS" w:cs="Noto Sans"/>
                <w:b/>
                <w:sz w:val="17"/>
              </w:rPr>
              <w:t>Oficjalne informacje</w:t>
            </w:r>
          </w:p>
        </w:tc>
      </w:tr>
      <w:tr>
        <w:trPr>
          <w:cantSplit/>
        </w:trPr>
        <w:tc>
          <w:tcPr>
            <w:tcW w:type="dxa" w:w="4873"/>
            <w:vAlign w:val="center"/>
          </w:tcPr>
          <w:p>
            <w:pPr>
              <w:spacing w:after="40"/>
            </w:pPr>
            <w:r>
              <w:rPr>
                <w:rFonts w:ascii="Noto Sans" w:hAnsi="Noto Sans" w:eastAsia="Arial Unicode MS" w:cs="Noto Sans"/>
                <w:sz w:val="17"/>
              </w:rPr>
              <w:t>Operator / dostawca usług witryny</w:t>
            </w:r>
          </w:p>
        </w:tc>
        <w:tc>
          <w:tcPr>
            <w:tcW w:type="dxa" w:w="4873"/>
            <w:vAlign w:val="center"/>
          </w:tcPr>
          <w:p>
            <w:pPr>
              <w:spacing w:after="40"/>
            </w:pPr>
            <w:r>
              <w:rPr>
                <w:rFonts w:ascii="Noto Sans" w:hAnsi="Noto Sans" w:eastAsia="Arial Unicode MS" w:cs="Noto Sans"/>
                <w:sz w:val="17"/>
              </w:rPr>
              <w:t>上海追光智创文化传媒有限公司 (Angielska nazwa publiczna: SHANGHAI LUMIREALM CREATIVE MEDIA CO., LTD.)</w:t>
            </w:r>
          </w:p>
        </w:tc>
      </w:tr>
      <w:tr>
        <w:trPr>
          <w:cantSplit/>
        </w:trPr>
        <w:tc>
          <w:tcPr>
            <w:tcW w:type="dxa" w:w="4873"/>
            <w:vAlign w:val="center"/>
          </w:tcPr>
          <w:p>
            <w:pPr>
              <w:spacing w:after="40"/>
            </w:pPr>
            <w:r>
              <w:rPr>
                <w:rFonts w:ascii="Noto Sans" w:hAnsi="Noto Sans" w:eastAsia="Arial Unicode MS" w:cs="Noto Sans"/>
                <w:sz w:val="17"/>
              </w:rPr>
              <w:t>Jedyna globalna witryna</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Wejście języka chińskiego</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Wejście języka japońskiego</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(dostępna; HTTPS 301)</w:t>
            </w:r>
          </w:p>
        </w:tc>
      </w:tr>
      <w:tr>
        <w:trPr>
          <w:cantSplit/>
        </w:trPr>
        <w:tc>
          <w:tcPr>
            <w:tcW w:type="dxa" w:w="4873"/>
            <w:vAlign w:val="center"/>
          </w:tcPr>
          <w:p>
            <w:pPr>
              <w:spacing w:after="40"/>
            </w:pPr>
            <w:r>
              <w:rPr>
                <w:rFonts w:ascii="Noto Sans" w:hAnsi="Noto Sans" w:eastAsia="Arial Unicode MS" w:cs="Noto Sans"/>
                <w:sz w:val="17"/>
              </w:rPr>
              <w:t>Oficjalne wejście języka koreańskiego</w:t>
            </w:r>
          </w:p>
        </w:tc>
        <w:tc>
          <w:tcPr>
            <w:tcW w:type="dxa" w:w="4873"/>
            <w:vAlign w:val="center"/>
          </w:tcPr>
          <w:p>
            <w:pPr>
              <w:spacing w:after="40"/>
            </w:pPr>
            <w:r>
              <w:rPr>
                <w:rFonts w:ascii="Noto Sans" w:hAnsi="Noto Sans" w:eastAsia="Arial Unicode MS" w:cs="Noto Sans"/>
                <w:sz w:val="17"/>
              </w:rPr>
              <w:t xml:space="preserve">Oficjalne wejścia w języku koreańskim dawnbloom.kr i www.dawnbloom.kr korzystają z przekierowań HTTPS 301 do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Zmiany DNS mogą wymagać czasu na propagację. Korzystają z ujednoliconej strony internetowej i nie tworzą osobnej strony internetowej, konta, bazy danych ani serwera gier koreańskich.</w:t>
            </w:r>
          </w:p>
        </w:tc>
      </w:tr>
      <w:tr>
        <w:trPr>
          <w:cantSplit/>
        </w:trPr>
        <w:tc>
          <w:tcPr>
            <w:tcW w:type="dxa" w:w="4873"/>
            <w:vAlign w:val="center"/>
          </w:tcPr>
          <w:p>
            <w:pPr>
              <w:spacing w:after="40"/>
            </w:pPr>
            <w:r>
              <w:rPr>
                <w:rFonts w:ascii="Noto Sans" w:hAnsi="Noto Sans" w:eastAsia="Arial Unicode MS" w:cs="Noto Sans"/>
                <w:sz w:val="17"/>
              </w:rPr>
              <w:t>Ogólna obsługa klienta</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Kontakt prawny/copyright</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Zgłaszanie luk bezpieczeństwa</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Adres operacyjny / adres kontaktu prawnego</w:t>
            </w:r>
          </w:p>
        </w:tc>
        <w:tc>
          <w:tcPr>
            <w:tcW w:type="dxa" w:w="4873"/>
            <w:vAlign w:val="center"/>
          </w:tcPr>
          <w:p>
            <w:pPr>
              <w:spacing w:after="40"/>
            </w:pPr>
            <w:r>
              <w:rPr>
                <w:rFonts w:ascii="Noto Sans" w:hAnsi="Noto Sans" w:eastAsia="Arial Unicode MS" w:cs="Noto Sans"/>
                <w:sz w:val="17"/>
              </w:rPr>
              <w:t>Pomieszczenie 218, Budynek 3, ul. Tianjiao 336, Specjalna Strefa Wolnego Handlu Lin-gang, Chińska Republika Ludowa (Pilotowa Strefa Wolnego Handlu Szanghaj), Chiny</w:t>
            </w:r>
          </w:p>
        </w:tc>
      </w:tr>
    </w:tbl>
    <w:p>
      <w:pPr>
        <w:spacing w:after="40"/>
      </w:pPr>
    </w:p>
    <w:p>
      <w:pPr>
        <w:keepLines w:val="0"/>
      </w:pPr>
      <w:r>
        <w:rPr>
          <w:rFonts w:ascii="Noto Sans" w:hAnsi="Noto Sans" w:eastAsia="Arial Unicode MS" w:cs="Noto Sans"/>
          <w:b w:val="0"/>
        </w:rPr>
        <w:t>Indeks prawny oficjalnej strony zawiera zbiorczy wykaz wspólnej Polityki prywatności DAWNBLOOM V8, obejmującej grę, sześć aplikacji, oficjalną stronę, konta, społeczność i obsługę klienta, Warunków korzystania z produktów i usług DAWNBLOOM, Warunków świadczenia usług DAWNBLOOM Browser, Kodeksu gracza i zasad karania naruszeń, Warunków sprzedaży i zwrotów, Polityki Cookie i podobnych technologii, Wytycznych dotyczących twórczości pochodnej i treści fanowskich, Komunikatu o oficjalnych kanałach i przeciwdziałaniu oszustwom oraz niniejszego dokumentu. Szczegółowy zakres, wersje i informacje dotyczące poszczególnych produktów określają odpowiednie oficjalne strony; szczególne warunki przeglądarki nie stosują zasad gry do zwykłego przeglądania.</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Przypomnienie antyoszustwa: Oficjalny DAWNBLOOM, Duch Świtu oraz jego pracownicy nigdy nie będą żądać Twojego hasła do konta, hasła płatności, pełnych danych karty bankowej ani kompletnego jednorazowego kodu weryfikacyjnego za pośrednictwem prywatnych wiadomości. Jeśli napotkasz osobę twierdzącą, że jest „GM”, „obsługą klienta” lub „oficjalnym przedstawicielem”, która prosi Cię o przelew pieniędzy prywatnie, instalację niezweryfikowanego oprogramowania, udostępnienie ekranu lub podanie haseł lub pełnych kodów weryfikacyjnych, natychmiast przestań wykonywać wszelkie działania i zweryfikuj żądanie poprzez oficjalną stronę internetową lub oficjalne kanały obsługi klienta.</w:t>
            </w:r>
          </w:p>
        </w:tc>
      </w:tr>
    </w:tbl>
    <w:p>
      <w:pPr>
        <w:spacing w:after="40"/>
      </w:pPr>
    </w:p>
    <w:p>
      <w:pPr>
        <w:pStyle w:val="Heading1"/>
        <w:keepLines w:val="0"/>
      </w:pPr>
      <w:r>
        <w:rPr>
          <w:rFonts w:ascii="Noto Sans" w:hAnsi="Noto Sans" w:eastAsia="Arial Unicode MS" w:cs="Noto Sans"/>
          <w:b w:val="0"/>
        </w:rPr>
        <w:t>2. Prawa własności intelektualnej i tożsamość marki DAWNBLOOM</w:t>
      </w:r>
    </w:p>
    <w:p>
      <w:pPr>
        <w:keepLines w:val="0"/>
      </w:pPr>
      <w:r>
        <w:rPr>
          <w:rFonts w:ascii="Noto Sans" w:hAnsi="Noto Sans" w:eastAsia="Arial Unicode MS" w:cs="Noto Sans"/>
          <w:b w:val="0"/>
        </w:rPr>
        <w:t>Z wyjątkiem wyraźnie oznaczonych lub należących do strony trzeciej, treść DAWNBLOOM oraz jej oficjalnej strony internetowej, aplikacji klienckiej i kanałów promocyjnych – w tym nazwy gier, logo, postacie, Bestie Fenomenalne, mapy, światopoglądy, fabuły, teksty, grafiki, interfejsy, ikony, animacje, muzyka, efekty dźwiękowe, filmy, wizualny design strony internetowej, kod oprogramowania, struktura bazy danych i inne oryginalne oraz kreatywne elementy – są chronione prawem autorskim, prawem znaków towarowych, ustawą o zwalczaniu nieuczciwej konkurencji oraz innymi obowiązującymi przepisami prawa.</w:t>
      </w:r>
    </w:p>
    <w:p>
      <w:pPr>
        <w:keepLines w:val="0"/>
      </w:pPr>
      <w:r>
        <w:rPr>
          <w:rFonts w:ascii="Noto Sans" w:hAnsi="Noto Sans" w:eastAsia="Arial Unicode MS" w:cs="Noto Sans"/>
          <w:b w:val="0"/>
        </w:rPr>
        <w:t>Materiały własnościowe DAWNBLOOM obejmują również nazwy, ikony, interfejsy, projekty klientów, strony produktów, opublikowane zrzuty ekranu i kod sześciu aplikacji. Raporty prasowe, strony internetowe odwiedzone w przeglądarce, poczta użytkowników oraz treści dostawcy poczty nie stają się własnością DAWNBLOOM jedynie dlatego, że aplikacja je wyświetla.</w:t>
      </w:r>
    </w:p>
    <w:p>
      <w:pPr>
        <w:keepLines w:val="0"/>
      </w:pPr>
      <w:r>
        <w:rPr>
          <w:rFonts w:ascii="Noto Sans" w:hAnsi="Noto Sans" w:eastAsia="Arial Unicode MS" w:cs="Noto Sans"/>
          <w:b w:val="0"/>
        </w:rPr>
        <w:t>"DAWNBLOOM" "DAWNBLOOM" oraz powiązane znaki graficzne służą jako oficjalne identyfikatory marki projektu. Zgłoszenia znaków towarowych, rejestracje i zakres ochrony podlegają ostatecznej aprobacie oraz wyznaczonym towarom i usługom określonym przez krajowe organy administracji własności intelektualnej. Symbol zarejestrowanego znaku towarowego (®) oraz podobne oznaczenia należy używać wyłącznie wtedy, gdy znak towarowy został prawnie zatwierdzony i zarejestrowany oraz jest używany w ramach oficjalnie wyznaczonego zakresu; żadnych znaków obecnie znajdujących się w procesie zgłoszenia, badania lub oczekujących na ostateczną aprobatę nie należy promować w sposób, który mógłby wprowadzać publiczność w błąd co do posiadania wyłącznych praw do znaku towarowego.</w:t>
      </w:r>
    </w:p>
    <w:p>
      <w:pPr>
        <w:keepLines w:val="0"/>
      </w:pPr>
      <w:r>
        <w:rPr>
          <w:rFonts w:ascii="Noto Sans" w:hAnsi="Noto Sans" w:eastAsia="Arial Unicode MS" w:cs="Noto Sans"/>
          <w:b w:val="0"/>
        </w:rPr>
        <w:t>Oświadczenia o prawach zawarte w tym dokumencie nie rozszerzają wyłącznych praw przyznanych przez prawo, ani też nie ograniczają legalnych, rozsądnych użyć, takich jak cytowanie, komentarze, raportowanie newsów lub inne użycia, które nie wymagają osobnej zgody.</w:t>
      </w:r>
    </w:p>
    <w:p>
      <w:pPr>
        <w:pStyle w:val="Heading1"/>
        <w:keepLines w:val="0"/>
      </w:pPr>
      <w:r>
        <w:rPr>
          <w:rFonts w:ascii="Noto Sans" w:hAnsi="Noto Sans" w:eastAsia="Arial Unicode MS" w:cs="Noto Sans"/>
          <w:b w:val="0"/>
        </w:rPr>
        <w:t>3. Wolny licencja na redystrybucję treści publicznie udostępnionych przez DAWNBLOOM</w:t>
      </w:r>
    </w:p>
    <w:p>
      <w:pPr>
        <w:keepLines w:val="0"/>
      </w:pPr>
      <w:r>
        <w:rPr>
          <w:rFonts w:ascii="Noto Sans" w:hAnsi="Noto Sans" w:eastAsia="Arial Unicode MS" w:cs="Noto Sans"/>
          <w:b w:val="0"/>
        </w:rPr>
        <w:t>DAWNBLOOM zaprasza graczy, media, streamerów, społeczności i twórców treści do publicznego rozpowszechniania informacji o grze dostępnych dla ogółu. W przypadku treści oficjalnie wydanych za pośrednictwem oficjalnej strony internetowej, oficjalnych platform społecznościowych lub oficjalnych kont w mediach społecznościowych, a które nie określają inaczej ograniczeń użytkowania, operator niniejszym udziela niewyłącznej, bezpłatnej, globalnej licencji na ponowne publikowanie i udostępnianie bez konieczności wcześniejszego zatwierdzenia:</w:t>
      </w:r>
    </w:p>
    <w:p>
      <w:pPr>
        <w:pStyle w:val="ListBullet"/>
        <w:keepLines w:val="0"/>
      </w:pPr>
      <w:r>
        <w:rPr>
          <w:rFonts w:ascii="Noto Sans" w:hAnsi="Noto Sans" w:eastAsia="Arial Unicode MS" w:cs="Noto Sans"/>
          <w:b w:val="0"/>
        </w:rPr>
        <w:t>Oficjalne wiadomości, ogłoszenia, notatki dotyczące aktualizacji wersji oraz informacje o wydarzeniach publicznych;</w:t>
      </w:r>
    </w:p>
    <w:p>
      <w:pPr>
        <w:pStyle w:val="ListBullet"/>
        <w:keepLines w:val="0"/>
      </w:pPr>
      <w:r>
        <w:rPr>
          <w:rFonts w:ascii="Noto Sans" w:hAnsi="Noto Sans" w:eastAsia="Arial Unicode MS" w:cs="Noto Sans"/>
          <w:b w:val="0"/>
        </w:rPr>
        <w:t>Oficjalne przewodniki publiczne, często zadawane pytania (FAQ) oraz wyjaśnienia zasad widoczne dla graczy;</w:t>
      </w:r>
    </w:p>
    <w:p>
      <w:pPr>
        <w:pStyle w:val="ListBullet"/>
        <w:keepLines w:val="0"/>
      </w:pPr>
      <w:r>
        <w:rPr>
          <w:rFonts w:ascii="Noto Sans" w:hAnsi="Noto Sans" w:eastAsia="Arial Unicode MS" w:cs="Noto Sans"/>
          <w:b w:val="0"/>
        </w:rPr>
        <w:t>Oficjalne zrzuty ekranu promocyjne, plakaty, banery oraz materiały w mediach społecznościowych wykorzystywane do szerokiego rozpowszechniania;</w:t>
      </w:r>
    </w:p>
    <w:p>
      <w:pPr>
        <w:pStyle w:val="ListBullet"/>
        <w:keepLines w:val="0"/>
      </w:pPr>
      <w:r>
        <w:rPr>
          <w:rFonts w:ascii="Noto Sans" w:hAnsi="Noto Sans" w:eastAsia="Arial Unicode MS" w:cs="Noto Sans"/>
          <w:b w:val="0"/>
        </w:rPr>
        <w:t>Inne materiały wyraźnie oznaczone przez operatora jako dostępne do publicznego dystrybuowania.</w:t>
      </w:r>
    </w:p>
    <w:p>
      <w:pPr>
        <w:keepLines w:val="0"/>
      </w:pPr>
      <w:r>
        <w:rPr>
          <w:rFonts w:ascii="Noto Sans" w:hAnsi="Noto Sans" w:eastAsia="Arial Unicode MS" w:cs="Noto Sans"/>
          <w:b w:val="0"/>
        </w:rPr>
        <w:t>W celu adaptacji do artykułów, filmów, transmisji na żywo, mediów społecznościowych lub innych formatów można przeprowadzić necessary skalowanie, przycinanie, kompresję, napisy lub konwersję formatu; jednakże nie należy zniekształcać pierwotnego zamysłu oficjalnej treści, fałszować oficjalnych oświadczeń, wprowadzać w błąd co do źródła lub podszywać się pod oficjalną tożsamość. Zabrania się również wprowadzania publiczności w błąd co do przekonania, że jakakolwiek powiązana treść, produkty lub usługi uzyskały oficjalną autoryzację, certyfikację lub poparcie ze strony DAWNBLOOM.</w:t>
      </w:r>
    </w:p>
    <w:p>
      <w:pPr>
        <w:pStyle w:val="Heading1"/>
        <w:keepLines w:val="0"/>
      </w:pPr>
      <w:r>
        <w:rPr>
          <w:rFonts w:ascii="Noto Sans" w:hAnsi="Noto Sans" w:eastAsia="Arial Unicode MS" w:cs="Noto Sans"/>
          <w:b w:val="0"/>
        </w:rPr>
        <w:t>3.1 Niniejsza wolna licencja na redystrybucję NIE obejmuje następujących przypadków:</w:t>
      </w:r>
    </w:p>
    <w:p>
      <w:pPr>
        <w:pStyle w:val="ListBullet"/>
        <w:keepLines w:val="0"/>
      </w:pPr>
      <w:r>
        <w:rPr>
          <w:rFonts w:ascii="Noto Sans" w:hAnsi="Noto Sans" w:eastAsia="Arial Unicode MS" w:cs="Noto Sans"/>
          <w:b w:val="0"/>
        </w:rPr>
        <w:t>Podszywanie się pod markę DAWNBLOOM, tworzenie fałszywej oficjalnej strony internetowej, oficjalnej obsługi klienta, oficjalnego wydarzenia, oficjalnego ogłoszenia lub oficjalnego stosunku autoryzacyjnego;</w:t>
      </w:r>
    </w:p>
    <w:p>
      <w:pPr>
        <w:pStyle w:val="ListBullet"/>
        <w:keepLines w:val="0"/>
      </w:pPr>
      <w:r>
        <w:rPr>
          <w:rFonts w:ascii="Noto Sans" w:hAnsi="Noto Sans" w:eastAsia="Arial Unicode MS" w:cs="Noto Sans"/>
          <w:b w:val="0"/>
        </w:rPr>
        <w:t>Jakiekolwiek użycie nazwy DAWNBLOOM, logo, postaci, dzieł sztuki lub innych materiałów do tworzenia, promowania lub prowadzenia nieautoryzowanych prywatnych serwerów, pirackiego oprogramowania klienckiego, podrabianych gier, stron oszustw lub usług komercyjnych, które mogą wprowadzać użytkowników w błąd co do ich powiązania z oficjalną grą, jest surowo zabronione;</w:t>
      </w:r>
    </w:p>
    <w:p>
      <w:pPr>
        <w:pStyle w:val="ListBullet"/>
        <w:keepLines w:val="0"/>
      </w:pPr>
      <w:r>
        <w:rPr>
          <w:rFonts w:ascii="Noto Sans" w:hAnsi="Noto Sans" w:eastAsia="Arial Unicode MS" w:cs="Noto Sans"/>
          <w:b w:val="0"/>
        </w:rPr>
        <w:t>Wyodrębnianie, repakowanie, sprzedaż lub dystrybucja oryginalnych plików graficznych, kodu źródłowego, plików źródłowych muzyki/dźwięków, plików czcionek, materiałów niepublikowanych, wewnętrznych dokumentów planistycznych, danych backendowych, niepublikowanych tabel prawdopodobieństwa, wewnętrznych wzorów, mnożników lub innych zasobów niepublicznych;</w:t>
      </w:r>
    </w:p>
    <w:p>
      <w:pPr>
        <w:pStyle w:val="ListBullet"/>
        <w:keepLines w:val="0"/>
      </w:pPr>
      <w:r>
        <w:rPr>
          <w:rFonts w:ascii="Noto Sans" w:hAnsi="Noto Sans" w:eastAsia="Arial Unicode MS" w:cs="Noto Sans"/>
          <w:b w:val="0"/>
        </w:rPr>
        <w:t>Modyfikowanie oficjalnych pakietów instalacyjnych, łat lub plików wykonywalnych i ponowne ich rozpowszechnianie pod nazwą oficjalnej wersji;</w:t>
      </w:r>
    </w:p>
    <w:p>
      <w:pPr>
        <w:pStyle w:val="ListBullet"/>
        <w:keepLines w:val="0"/>
      </w:pPr>
      <w:r>
        <w:rPr>
          <w:rFonts w:ascii="Noto Sans" w:hAnsi="Noto Sans" w:eastAsia="Arial Unicode MS" w:cs="Noto Sans"/>
          <w:b w:val="0"/>
        </w:rPr>
        <w:t>Korzystanie z oficjalnych materiałów w celu oszustwa, złośliwego przekierowania ruchu, nielegalnych transakcji, naruszenia praw do towarów lub w jakimkolwiek innym celu, który wyraźnie szkodzi bezpieczeństwu graczy lub prawnym interesom projektu.</w:t>
      </w:r>
    </w:p>
    <w:p>
      <w:pPr>
        <w:keepLines w:val="0"/>
      </w:pPr>
      <w:r>
        <w:rPr>
          <w:rFonts w:ascii="Noto Sans" w:hAnsi="Noto Sans" w:eastAsia="Arial Unicode MS" w:cs="Noto Sans"/>
          <w:b w:val="0"/>
        </w:rPr>
        <w:t>Normalne transmisje na żywo, nagrane transmisje, filmy przewodnie, komentarze, dyskusje nad fan fiction oraz dzielenie się treściami przez graczy nie podlegają dodatkowym ograniczeniom na mocy tej licencji; w przypadku wykorzystania muzyki, czcionek, logo platformy lub innych materiałów osób trzecich, takie użycie musi również spełniać zasady obowiązujące dla odpowiednich właścicieli praw.</w:t>
      </w:r>
    </w:p>
    <w:p>
      <w:pPr>
        <w:pStyle w:val="Heading1"/>
        <w:keepLines w:val="0"/>
      </w:pPr>
      <w:r>
        <w:rPr>
          <w:rFonts w:ascii="Noto Sans" w:hAnsi="Noto Sans" w:eastAsia="Arial Unicode MS" w:cs="Noto Sans"/>
          <w:b w:val="0"/>
        </w:rPr>
        <w:t>4. Treści generowane przez graczy, DAWNBLOOM Community oraz skargi dotyczące praw autorskich</w:t>
      </w:r>
    </w:p>
    <w:p>
      <w:pPr>
        <w:keepLines w:val="0"/>
      </w:pPr>
      <w:r>
        <w:rPr>
          <w:rFonts w:ascii="Noto Sans" w:hAnsi="Noto Sans" w:eastAsia="Arial Unicode MS" w:cs="Noto Sans"/>
          <w:b w:val="0"/>
        </w:rPr>
        <w:t>"DAWNBLOOM Community" to oficjalna nazwa społeczności graczy dla gry "DAWNBLOOM"; nazwa ta będzie pełnić funkcję oficjalnej marki społeczności i pozostanie w mocy niezależnie od wszelkich zmian nazwy marki gry. DAWNBLOOM Community pozwala graczom na przesyłanie obrazów, poradników, postów, komentarzy i innych treści zgodnie z regulaminem społeczności. Gracze zachowują zasadniczo prawa, które prawnie przysługują im za ich oryginalną treść; szczegółowe wytyczne dotyczące licencjonowania i użytkowania dostępne są w "Warunkach Korzystania z Oficjalnej Strony WWW i DAWNBLOOM Community".</w:t>
      </w:r>
    </w:p>
    <w:p>
      <w:pPr>
        <w:keepLines w:val="0"/>
      </w:pPr>
      <w:r>
        <w:rPr>
          <w:rFonts w:ascii="Noto Sans" w:hAnsi="Noto Sans" w:eastAsia="Arial Unicode MS" w:cs="Noto Sans"/>
          <w:b w:val="0"/>
        </w:rPr>
        <w:t>Jeśli uważasz, że treść generowana przez użytkowników na oficjalnym DAWNBLOOM Community lub innych oficjalnych stronach DAWNBLOOM narusza Twoje prawa autorskie, prawa do znaków towarowych, prawo do wizerunku, dobra osobiste lub inne prawnie chronione interests, możesz zgłosić skargę poprzez oficjalny kanał kontaktowy ds. prawniczych/autorskich. W celu weryfikacji zalecamy dostarczenie:</w:t>
      </w:r>
    </w:p>
    <w:p>
      <w:pPr>
        <w:pStyle w:val="ListBullet"/>
        <w:keepLines w:val="0"/>
      </w:pPr>
      <w:r>
        <w:rPr>
          <w:rFonts w:ascii="Noto Sans" w:hAnsi="Noto Sans" w:eastAsia="Arial Unicode MS" w:cs="Noto Sans"/>
          <w:b w:val="0"/>
        </w:rPr>
        <w:t>Nazwę właściciela praw lub nazwę podmiotu oraz dane kontaktowe, w tym adres e-mail, numer telefonu lub inne szczegóły kontaktowe;</w:t>
      </w:r>
    </w:p>
    <w:p>
      <w:pPr>
        <w:pStyle w:val="ListBullet"/>
        <w:keepLines w:val="0"/>
      </w:pPr>
      <w:r>
        <w:rPr>
          <w:rFonts w:ascii="Noto Sans" w:hAnsi="Noto Sans" w:eastAsia="Arial Unicode MS" w:cs="Noto Sans"/>
          <w:b w:val="0"/>
        </w:rPr>
        <w:t>Dowody wstępnie potwierdzające własność lub upoważnienie;</w:t>
      </w:r>
    </w:p>
    <w:p>
      <w:pPr>
        <w:pStyle w:val="ListBullet"/>
        <w:keepLines w:val="0"/>
      </w:pPr>
      <w:r>
        <w:rPr>
          <w:rFonts w:ascii="Noto Sans" w:hAnsi="Noto Sans" w:eastAsia="Arial Unicode MS" w:cs="Noto Sans"/>
          <w:b w:val="0"/>
        </w:rPr>
        <w:t>URL treści przedmiotowej skargi, ID posta, zrzut ekranu lub inne precyzyjne informacje identyfikacyjne;</w:t>
      </w:r>
    </w:p>
    <w:p>
      <w:pPr>
        <w:pStyle w:val="ListBullet"/>
        <w:keepLines w:val="0"/>
      </w:pPr>
      <w:r>
        <w:rPr>
          <w:rFonts w:ascii="Noto Sans" w:hAnsi="Noto Sans" w:eastAsia="Arial Unicode MS" w:cs="Noto Sans"/>
          <w:b w:val="0"/>
        </w:rPr>
        <w:t>Krótkie oświadczenie dotyczące rzekomego naruszenia oraz żądanej akcji;</w:t>
      </w:r>
    </w:p>
    <w:p>
      <w:pPr>
        <w:pStyle w:val="ListBullet"/>
        <w:keepLines w:val="0"/>
      </w:pPr>
      <w:r>
        <w:rPr>
          <w:rFonts w:ascii="Noto Sans" w:hAnsi="Noto Sans" w:eastAsia="Arial Unicode MS" w:cs="Noto Sans"/>
          <w:b w:val="0"/>
        </w:rPr>
        <w:t>Oświadczenie potwierdzające dokładność i autentyczność skargi oraz gotowość do poniesienia odpowiedzialności za jakiekolwiek złośliwe lub fałszywe roszczenia.</w:t>
      </w:r>
    </w:p>
    <w:p>
      <w:pPr>
        <w:keepLines w:val="0"/>
      </w:pPr>
      <w:r>
        <w:rPr>
          <w:rFonts w:ascii="Noto Sans" w:hAnsi="Noto Sans" w:eastAsia="Arial Unicode MS" w:cs="Noto Sans"/>
          <w:b w:val="0"/>
        </w:rPr>
        <w:t>Po otrzymaniu wiadomości zawierającej podstawowe, weryfikowalne informacje, operator powinien, w oparciu o charakter treści, wstępne dowody oraz właściwe przepisy prawa, niezwłocznie podjąć rozsądne działania, takie jak: kontakt z wydawcą treści, ograniczenie wyświetlania, tymczasowe zablokowanie, usunięcie treści, rozłączenie linków, zabezpieczenie dowodów, przywrócenie przypadkowo usuniętej treści, zapewnienie kanałów odwoławczych lub kontr-skarżb, lub oddalenie bezpodstawnych skarg.</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Zgodnie z aktualnymi chińskimi przepisami o prawach autorskich w sieci oraz praktyką sądową, podkreśla się mechanizm „powiadomienie–usunięcie”. Zgłoszenia naruszeń praw autorskich muszą zawierać informacje wystarczające do zidentyfikowania treści oraz wstępne dowody potwierdzające roszczenia dotyczące praw lub naruszeń; po otrzymaniu ważnego zgłoszenia platforma powinna niezwłocznie podjąć niezbędne działania w oparciu o konkretne okoliczności.</w:t>
            </w:r>
          </w:p>
        </w:tc>
      </w:tr>
    </w:tbl>
    <w:p>
      <w:pPr>
        <w:spacing w:after="40"/>
      </w:pPr>
    </w:p>
    <w:p>
      <w:pPr>
        <w:pStyle w:val="Heading1"/>
        <w:keepLines w:val="0"/>
      </w:pPr>
      <w:r>
        <w:rPr>
          <w:rFonts w:ascii="Noto Sans" w:hAnsi="Noto Sans" w:eastAsia="Arial Unicode MS" w:cs="Noto Sans"/>
          <w:b w:val="0"/>
        </w:rPr>
        <w:t>5. Skargi dotyczące praw autorskich od użytkowników z USA</w:t>
      </w:r>
    </w:p>
    <w:p>
      <w:pPr>
        <w:keepLines w:val="0"/>
      </w:pPr>
      <w:r>
        <w:rPr>
          <w:rFonts w:ascii="Noto Sans" w:hAnsi="Noto Sans" w:eastAsia="Arial Unicode MS" w:cs="Noto Sans"/>
          <w:b w:val="0"/>
        </w:rPr>
        <w:t xml:space="preserve">Jeśli uważasz, że treść na DAWNBLOOM Community lub oficjalnej stronie internetowej narusza Twoje prawa autorskie, wyślij adres URL treści, szczegóły chronionego dzieła, dowód własności lub upoważnienia oraz adres e-mail kontaktowy na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Przejrzymy to i odpowiemy zgodnie z obowiązującymi zasadami.</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jest obecnie ogólnym kanałem zgłaszania naruszeń praw autorskich. Ta strona nie twierdzi, że agent wyznaczony został zarejestrowany zgodnie z §512 ustawy DMCA ani nie przedstawia skrzynki ogólnej jako zarejestrowanego agenta wyznaczonego.</w:t>
      </w:r>
    </w:p>
    <w:p>
      <w:pPr>
        <w:keepLines w:val="0"/>
      </w:pPr>
      <w:r>
        <w:rPr>
          <w:rFonts w:ascii="Noto Sans" w:hAnsi="Noto Sans" w:eastAsia="Arial Unicode MS" w:cs="Noto Sans"/>
          <w:b w:val="0"/>
        </w:rPr>
        <w:t>Jeśli zostanie wprowadzony dedykowany proces powiadamiania, usuwania i kontr-zgłoszeń w USA, jego zakres, wymagane informacje i kroki postępowania zostaną opublikowane w oficjalnym punkcie dostępu.</w:t>
      </w:r>
    </w:p>
    <w:p>
      <w:pPr>
        <w:keepLines w:val="0"/>
      </w:pPr>
      <w:r>
        <w:rPr>
          <w:rFonts w:ascii="Noto Sans" w:hAnsi="Noto Sans" w:eastAsia="Arial Unicode MS" w:cs="Noto Sans"/>
          <w:b w:val="0"/>
        </w:rPr>
        <w:t>Jeśli uważasz, że Twoja treść została usunięta błędnie, możesz również poprosić o ponowne rozpatrzenie sprawy za pośrednictwem tego adresu e-mail, podając oryginalny adres URL treści, powiadomienie o usunięciu, podstawę swoich praw lub upoważnienia oraz dane kontaktowe.</w:t>
      </w:r>
    </w:p>
    <w:p>
      <w:pPr>
        <w:pStyle w:val="Heading1"/>
        <w:keepLines w:val="0"/>
      </w:pPr>
      <w:r>
        <w:rPr>
          <w:rFonts w:ascii="Noto Sans" w:hAnsi="Noto Sans" w:eastAsia="Arial Unicode MS" w:cs="Noto Sans"/>
          <w:b w:val="0"/>
        </w:rPr>
        <w:t>6. Japońskie prawo autorskie i treści generowane przez graczy</w:t>
      </w:r>
    </w:p>
    <w:p>
      <w:pPr>
        <w:keepLines w:val="0"/>
      </w:pPr>
      <w:r>
        <w:rPr>
          <w:rFonts w:ascii="Noto Sans" w:hAnsi="Noto Sans" w:eastAsia="Arial Unicode MS" w:cs="Noto Sans"/>
          <w:b w:val="0"/>
        </w:rPr>
        <w:t>Podczas udostępniania treści użytkownikom japońskim, wszelka publiczna ponowna publikacja, przesyłanie lub wykorzystanie utworów osób trzecich musi generalnie zgodzić się z Ustawą o prawach autorskich Japonii oraz zakresem uprawnień posiadanych przez odpowiednich właścicieli praw. Licencja przyznana przez DAWNBLOOM do ponownej publikacji materiałów oficjalnych obejmuje wyłącznie oficjalną treść wyraźnie dozwoloną w Sekcji 3 niniejszego dokumentu i nie stanowi autoryzacji od jakiegokolwiek innego właściciela praw.</w:t>
      </w:r>
    </w:p>
    <w:p>
      <w:pPr>
        <w:keepLines w:val="0"/>
      </w:pPr>
      <w:r>
        <w:rPr>
          <w:rFonts w:ascii="Noto Sans" w:hAnsi="Noto Sans" w:eastAsia="Arial Unicode MS" w:cs="Noto Sans"/>
          <w:b w:val="0"/>
        </w:rPr>
        <w:t>Jeśli treść przesłana przez użytkowników japońskich zostanie zgłoszona przez właścicieli praw, operator może przeprowadzić weryfikację i obsługę zgodnie z obowiązującymi przepisami, zasadami platformy oraz mechanizmami określonymi w Sekcji 4 niniejszego dokumentu. Aby zapoznać się z obowiązującymi granicami dla fan fiction, transmisji na żywo, edycji wideo i innych utworów fanowskich, zobacz bieżące Wytyczne dotyczące treści fanowskich i utworów zależnych.</w:t>
      </w:r>
    </w:p>
    <w:p>
      <w:pPr>
        <w:pStyle w:val="Heading1"/>
        <w:keepLines w:val="0"/>
      </w:pPr>
      <w:r>
        <w:rPr>
          <w:rFonts w:ascii="Noto Sans" w:hAnsi="Noto Sans" w:eastAsia="Arial Unicode MS" w:cs="Noto Sans"/>
          <w:b w:val="0"/>
        </w:rPr>
        <w:t>7. Zastrzeżenia dotyczące znaków towarowych i marek osób trzecich</w:t>
      </w:r>
    </w:p>
    <w:p>
      <w:pPr>
        <w:keepLines w:val="0"/>
      </w:pPr>
      <w:r>
        <w:rPr>
          <w:rFonts w:ascii="Noto Sans" w:hAnsi="Noto Sans" w:eastAsia="Arial Unicode MS" w:cs="Noto Sans"/>
          <w:b w:val="0"/>
        </w:rPr>
        <w:t>Strona internetowa DAWNBLOOM, aplikacja kliencka lub materiały promocyjne mogą zawierać odniesienia do nazw, znaków towarowych, znaków usługowych lub oficjalnych logotypów stron trzecich w celu zilustrowania kompatybilności platformy, punktów pobierania, metod płatności, kanałów społecznościowych lub powiązanych usług. Takie odniesienia służą wyłącznie celom identyfikacyjnym i nie sugerują, że strona trzecia uczestniczy w rozwoju, dystrybucji, eksploatacji, sponsorowaniu, certyfikacji ani poparciu dla DAWNBLOOM, chyba że wyraźnie zaznaczono to inaczej na piśmie.</w:t>
      </w:r>
    </w:p>
    <w:p>
      <w:pPr>
        <w:keepLines w:val="0"/>
      </w:pPr>
      <w:r>
        <w:rPr>
          <w:rFonts w:ascii="Noto Sans" w:hAnsi="Noto Sans" w:eastAsia="Arial Unicode MS" w:cs="Noto Sans"/>
          <w:b w:val="0"/>
        </w:rPr>
        <w:t>Nazwy i znaki takie jak Apple, Google, Microsoft, Steam, App Store, Google Play, Gmail i Outlook należą do ich odpowiednich właścicieli. Odniesienie do kompatybilności lub linku do sklepu nie impluje partnerstwa ani poparcia.</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Przykłady identyfikatorów stron trzecich</w:t>
            </w:r>
          </w:p>
        </w:tc>
        <w:tc>
          <w:tcPr>
            <w:tcW w:type="dxa" w:w="4873"/>
            <w:vAlign w:val="center"/>
            <w:shd w:fill="DCE8F7"/>
          </w:tcPr>
          <w:p>
            <w:pPr>
              <w:keepNext/>
              <w:spacing w:after="40"/>
            </w:pPr>
            <w:r>
              <w:rPr>
                <w:rFonts w:ascii="Noto Sans" w:hAnsi="Noto Sans" w:eastAsia="Arial Unicode MS" w:cs="Noto Sans"/>
                <w:b/>
                <w:sz w:val="17"/>
              </w:rPr>
              <w:t>Wyjaśnienie</w:t>
            </w:r>
          </w:p>
        </w:tc>
      </w:tr>
      <w:tr>
        <w:trPr>
          <w:cantSplit/>
        </w:trPr>
        <w:tc>
          <w:tcPr>
            <w:tcW w:type="dxa" w:w="4873"/>
            <w:vAlign w:val="center"/>
          </w:tcPr>
          <w:p>
            <w:pPr>
              <w:spacing w:after="40"/>
            </w:pPr>
            <w:r>
              <w:rPr>
                <w:rFonts w:ascii="Noto Sans" w:hAnsi="Noto Sans" w:eastAsia="Arial Unicode MS" w:cs="Noto Sans"/>
                <w:sz w:val="17"/>
              </w:rPr>
              <w:t>Apple, App Store, Apple Pay, iPhone, iPad, Mac itp.</w:t>
            </w:r>
          </w:p>
        </w:tc>
        <w:tc>
          <w:tcPr>
            <w:tcW w:type="dxa" w:w="4873"/>
            <w:vAlign w:val="center"/>
          </w:tcPr>
          <w:p>
            <w:pPr>
              <w:spacing w:after="40"/>
            </w:pPr>
            <w:r>
              <w:rPr>
                <w:rFonts w:ascii="Noto Sans" w:hAnsi="Noto Sans" w:eastAsia="Arial Unicode MS" w:cs="Noto Sans"/>
                <w:sz w:val="17"/>
              </w:rPr>
              <w:t>Nazwy i logotypy są własnością Apple Inc. lub jej powiązanych podmiotów uprawnionych. Korzystając z oficjalnych logotypów, takich jak App Store czy Apple Pay, należy ściśle przestrzegać najnowszych wytycznych marki i prawniczych firmy Apple.</w:t>
            </w:r>
          </w:p>
        </w:tc>
      </w:tr>
      <w:tr>
        <w:trPr>
          <w:cantSplit/>
        </w:trPr>
        <w:tc>
          <w:tcPr>
            <w:tcW w:type="dxa" w:w="4873"/>
            <w:vAlign w:val="center"/>
          </w:tcPr>
          <w:p>
            <w:pPr>
              <w:spacing w:after="40"/>
            </w:pPr>
            <w:r>
              <w:rPr>
                <w:rFonts w:ascii="Noto Sans" w:hAnsi="Noto Sans" w:eastAsia="Arial Unicode MS" w:cs="Noto Sans"/>
                <w:sz w:val="17"/>
              </w:rPr>
              <w:t>Steam, Logo Steam, Valve</w:t>
            </w:r>
          </w:p>
        </w:tc>
        <w:tc>
          <w:tcPr>
            <w:tcW w:type="dxa" w:w="4873"/>
            <w:vAlign w:val="center"/>
          </w:tcPr>
          <w:p>
            <w:pPr>
              <w:spacing w:after="40"/>
            </w:pPr>
            <w:r>
              <w:rPr>
                <w:rFonts w:ascii="Noto Sans" w:hAnsi="Noto Sans" w:eastAsia="Arial Unicode MS" w:cs="Noto Sans"/>
                <w:sz w:val="17"/>
              </w:rPr>
              <w:t>Nazwy i logotypy są własnością Valve Corporation lub jej powiązanych podmiotów uprawnionych. Marki Steam nie należy używać w sposób sugerujący sponsorowanie lub poparcie przez Valve treści innych niż Valve.</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Nazwy i logotypy należą do ich odpowiednich prawowitych właścicieli.</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Nazwy i logotypy należą do ich odpowiednich prawowitych właścicieli.</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Są one wskazane wyłącznie jako potencjalne metody płatności lub integracje usług stron trzecich; znaki towarowe należą do ich odpowiednich prawowitych właścicieli.</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itp.</w:t>
            </w:r>
          </w:p>
        </w:tc>
        <w:tc>
          <w:tcPr>
            <w:tcW w:type="dxa" w:w="4873"/>
            <w:vAlign w:val="center"/>
          </w:tcPr>
          <w:p>
            <w:pPr>
              <w:spacing w:after="40"/>
            </w:pPr>
            <w:r>
              <w:rPr>
                <w:rFonts w:ascii="Noto Sans" w:hAnsi="Noto Sans" w:eastAsia="Arial Unicode MS" w:cs="Noto Sans"/>
                <w:sz w:val="17"/>
              </w:rPr>
              <w:t>Są one używane wyłącznie do identyfikacji oficjalnych kanałów społecznościowych lub medialnych oraz usług stron trzecich; znaki towarowe należą do ich odpowiednich prawowitych właścicieli.</w:t>
            </w:r>
          </w:p>
        </w:tc>
      </w:tr>
    </w:tbl>
    <w:p>
      <w:pPr>
        <w:spacing w:after="40"/>
      </w:pPr>
    </w:p>
    <w:p>
      <w:pPr>
        <w:keepLines w:val="0"/>
      </w:pPr>
      <w:r>
        <w:rPr>
          <w:rFonts w:ascii="Noto Sans" w:hAnsi="Noto Sans" w:eastAsia="Arial Unicode MS" w:cs="Noto Sans"/>
          <w:b w:val="0"/>
        </w:rPr>
        <w:t>Operator będzie dążył do korzystania z oficjalnych logotypów i aktywów marki dostarczonych przez strony trzecie oraz będzie przestrzegać wymagań dotyczących rozmiaru, odstępu, koloru, etykietowania i "brak domniemanego poparcia". Wytyczne dotyczące marek stron trzecich mogą być aktualizowane; oficjalna strona internetowa powinna stosować się do najnowszych oficjalnych wytycznych wydanych przez stronę trzecią.</w:t>
      </w:r>
    </w:p>
    <w:p>
      <w:pPr>
        <w:pStyle w:val="Heading1"/>
        <w:keepLines w:val="0"/>
      </w:pPr>
      <w:r>
        <w:rPr>
          <w:rFonts w:ascii="Noto Sans" w:hAnsi="Noto Sans" w:eastAsia="Arial Unicode MS" w:cs="Noto Sans"/>
          <w:b w:val="0"/>
        </w:rPr>
        <w:t>8. Oprogramowanie open source i deklaracje komponentów osób trzecich</w:t>
      </w:r>
    </w:p>
    <w:p>
      <w:pPr>
        <w:keepLines w:val="0"/>
      </w:pPr>
      <w:r>
        <w:rPr>
          <w:rFonts w:ascii="Noto Sans" w:hAnsi="Noto Sans" w:eastAsia="Arial Unicode MS" w:cs="Noto Sans"/>
          <w:b w:val="0"/>
        </w:rPr>
        <w:t>Klient gry DAWNBLOOM, serwer, oficjalna strona internetowa lub związane narzędzia deweloperskie mogą zawierać lub polegać na oprogramowaniu open-source, bibliotekach, frameworkach, czcionkach, komponentach przetwarzania audio/wizualnych i innych technologiach stron trzecich. Takie komponenty pozostają objęte ich odpowiednimi licencjami, zastrzeżeniami praw autorskich, wymogami przypisania autorstwa i innymi stosownymi warunkami.</w:t>
      </w:r>
    </w:p>
    <w:p>
      <w:pPr>
        <w:keepLines w:val="0"/>
      </w:pPr>
      <w:r>
        <w:rPr>
          <w:rFonts w:ascii="Noto Sans" w:hAnsi="Noto Sans" w:eastAsia="Arial Unicode MS" w:cs="Noto Sans"/>
          <w:b w:val="0"/>
        </w:rPr>
        <w:t>Aplikacje, strona internetowa i gra mogą każdą z nich wykorzystywać komponenty open-source. Zawiadomienia znajdują się po komponentach w faktycznie dystrybuowanej wersji; te licencje nie przyznają praw DAWNBLOOM do treści osób trzecich niezwiązanych z nimi.</w:t>
      </w:r>
    </w:p>
    <w:p>
      <w:pPr>
        <w:keepLines w:val="0"/>
      </w:pPr>
      <w:r>
        <w:rPr>
          <w:rFonts w:ascii="Noto Sans" w:hAnsi="Noto Sans" w:eastAsia="Arial Unicode MS" w:cs="Noto Sans"/>
          <w:b w:val="0"/>
        </w:rPr>
        <w:t>W momencie oficjalnej premioperator powinien utrzymywać stronę Open Source Notices / Open Source Software Disclosure lub dołączyć listę licencji do dystrybucji oprogramowania, spełniając obowiązki wymagane przez MIT, Apache, BSD, OFL, LGPL/GPL lub dowolną inną faktyczną używaną licencję.</w:t>
      </w:r>
    </w:p>
    <w:p>
      <w:pPr>
        <w:keepLines w:val="0"/>
      </w:pPr>
      <w:r>
        <w:rPr>
          <w:rFonts w:ascii="Noto Sans" w:hAnsi="Noto Sans" w:eastAsia="Arial Unicode MS" w:cs="Noto Sans"/>
          <w:b w:val="0"/>
        </w:rPr>
        <w:t>Projekty open-source osób trzecich, autorzy, fundacje lub właściciele praw nie będą automatycznie uważani za sponsorów, partnerów, certyfikatorów ani zwolenników DAWNBLOOM jedynie ze względu na fakt użycia ich technologii.</w:t>
      </w:r>
    </w:p>
    <w:p>
      <w:pPr>
        <w:pStyle w:val="Heading1"/>
        <w:keepLines w:val="0"/>
      </w:pPr>
      <w:r>
        <w:rPr>
          <w:rFonts w:ascii="Noto Sans" w:hAnsi="Noto Sans" w:eastAsia="Arial Unicode MS" w:cs="Noto Sans"/>
          <w:b w:val="0"/>
        </w:rPr>
        <w:t>9. Linki zewnętrzne, usługi osób trzecich oraz dokładność treści</w:t>
      </w:r>
    </w:p>
    <w:p>
      <w:pPr>
        <w:keepLines w:val="0"/>
      </w:pPr>
      <w:r>
        <w:rPr>
          <w:rFonts w:ascii="Noto Sans" w:hAnsi="Noto Sans" w:eastAsia="Arial Unicode MS" w:cs="Noto Sans"/>
          <w:b w:val="0"/>
        </w:rPr>
        <w:t>Oficjalna strona internetowa może zawierać linki do Steam, App Store, platform społecznościowych, usług płatniczych, platform wsparcia klienta lub innych usług osób trzecich. Strony internetowe i usługi osób trzecich są niezależnie obsługiwane przez swoje odpowiednie podmioty, a DAWNBLOOM nie może kontrolować ich dostępności, treści, praktyk prywatności, ograniczeń regionalnych, warunków usługi ani zmian polityki.</w:t>
      </w:r>
    </w:p>
    <w:p>
      <w:pPr>
        <w:keepLines w:val="0"/>
      </w:pPr>
      <w:r>
        <w:rPr>
          <w:rFonts w:ascii="Noto Sans" w:hAnsi="Noto Sans" w:eastAsia="Arial Unicode MS" w:cs="Noto Sans"/>
          <w:b w:val="0"/>
        </w:rPr>
        <w:t>Źródła newsów, zewnętrzne strony, dostawcy poczty i sklepy z aplikacjami kontrolują własną treść, konta i warunki. Oficjalne linki do oprogramowania są publikowane na dawnbloom.net lub w sklepach wyraźnie z niego powiązanych.</w:t>
      </w:r>
    </w:p>
    <w:p>
      <w:pPr>
        <w:keepLines w:val="0"/>
      </w:pPr>
      <w:r>
        <w:rPr>
          <w:rFonts w:ascii="Noto Sans" w:hAnsi="Noto Sans" w:eastAsia="Arial Unicode MS" w:cs="Noto Sans"/>
          <w:b w:val="0"/>
        </w:rPr>
        <w:t>Oficjalna strona internetowa podejmie wszelkie starania, aby zapewnić dokładność ogłoszeń, przewodników, instrukcji pobierania, informacji o kompatybilności i innej publicznie dostępnej treści, ale gra będzie nadal rozwijana i aktualizowana. Zrzuty ekranu, koncepcyjna sztuka, funkcje testowe, planowane wsparcie platform oraz treści jeszcze nieoficjalnie wydane mogą być dostosowywane, odkładane lub anulowane w zależności od rzeczywistego postępu prac. Z wyjątkiem tego, co wymaga prawo lub gdzie strona stanowi jawne zobowiązanie produktowe lub usługowe, treść wyświetlana podczas fazy rozwoju nie stanowi niezłomnej gwarancji dla przyszłych wersji.</w:t>
      </w:r>
    </w:p>
    <w:p>
      <w:pPr>
        <w:keepLines w:val="0"/>
      </w:pPr>
      <w:r>
        <w:rPr>
          <w:rFonts w:ascii="Noto Sans" w:hAnsi="Noto Sans" w:eastAsia="Arial Unicode MS" w:cs="Noto Sans"/>
          <w:b w:val="0"/>
        </w:rPr>
        <w:t>Posty, komentarze, poradniki i inne treści generowane przez użytkowników (UGC) publikowane przez graczy na DAWNBLOOM Community odzwierciedlają tylko ich indywidualne opinie i niekoniecznie reprezentują oficjalne stanowisko DAWNBLOOM.</w:t>
      </w:r>
    </w:p>
    <w:p>
      <w:pPr>
        <w:pStyle w:val="Heading1"/>
        <w:keepLines w:val="0"/>
      </w:pPr>
      <w:r>
        <w:rPr>
          <w:rFonts w:ascii="Noto Sans" w:hAnsi="Noto Sans" w:eastAsia="Arial Unicode MS" w:cs="Noto Sans"/>
          <w:b w:val="0"/>
        </w:rPr>
        <w:t>10. Przewodnik Dawnbloom i usługi graczy AI</w:t>
      </w:r>
    </w:p>
    <w:p>
      <w:pPr>
        <w:keepLines w:val="0"/>
      </w:pPr>
      <w:r>
        <w:rPr>
          <w:rFonts w:ascii="Noto Sans" w:hAnsi="Noto Sans" w:eastAsia="Arial Unicode MS" w:cs="Noto Sans"/>
          <w:b w:val="0"/>
        </w:rPr>
        <w:t>DAWNBLOOM AI jest marką systemu inteligentnej interakcji i usług technologicznych naszej spółki, a DAWNBLOOM Fairy jest inteligentnym towarzyszem i postacią służącą do interakcji z użytkownikami w ramach tego samego systemu usług. DAWNBLOOM AI 2.0 oznacza publiczną wersję tego systemu usług inteligentnych i nie oznacza, że nasza spółka samodzielnie wytrenowała bazowy duży model językowy. „DAWNBLOOM Fairy” jest inteligentnym asystentem gry i punktem dostępu do obsługi graczy za pomocą AI, udostępnianym graczom przez DAWNBLOOM. Może zarówno odpowiadać na pytania dotyczące dostępnych graczom informacji o rozgrywce, zadaniach, profesjach, fantastycznych stworzeniach, mapach, wydarzeniach i poradnikach, jak i pomagać w rozpatrywaniu lub wskazywać sposób rozpatrzenia spraw dotyczących bezpieczeństwa konta, aktywów w grze, zamówień doładowań, nieprawidłowych stanów i zgłoszeń obsługowych. Usługi ograniczają się do odpowiedzi na pytania dotyczące publicznie dostępnej wiedzy o grze i produktach, komunikacji tekstowej w języku naturalnym, wskazywania graczom sposobów skorzystania z obsługi oraz faktycznie udostępnionych funkcji interfejsu Intelligent UI; obsługa języków na oficjalnej stronie nie rozszerza zakresu języków klienta gry ani zakresu języków żadnego z sześciu odrębnych programów. Obecnie nie są oferowane generowanie ani edycja obrazów, tworzenie plików PDF, dokumentów Word, prezentacji slajdów i arkuszy kalkulacyjnych ani ogólna automatyzacja pracy biurowej.</w:t>
      </w:r>
    </w:p>
    <w:p>
      <w:pPr>
        <w:keepLines w:val="0"/>
      </w:pPr>
      <w:r>
        <w:rPr>
          <w:rFonts w:ascii="Noto Sans" w:hAnsi="Noto Sans" w:eastAsia="Arial Unicode MS" w:cs="Noto Sans"/>
          <w:b w:val="0"/>
        </w:rPr>
        <w:t>Przewodnik Dawnbloom może pomagać graczom w rozwiązywaniu problemów, w tym między innymi:</w:t>
      </w:r>
    </w:p>
    <w:p>
      <w:pPr>
        <w:pStyle w:val="ListBullet"/>
        <w:keepLines w:val="0"/>
      </w:pPr>
      <w:r>
        <w:rPr>
          <w:rFonts w:ascii="Noto Sans" w:hAnsi="Noto Sans" w:eastAsia="Arial Unicode MS" w:cs="Noto Sans"/>
          <w:b w:val="0"/>
        </w:rPr>
        <w:t>Mechaniki gry, postęp w zadaniach, rozwój kariery, hodowla bestii zjaw, eksploracja mapy, zasady wydarzeń i strategie gry;</w:t>
      </w:r>
    </w:p>
    <w:p>
      <w:pPr>
        <w:pStyle w:val="ListBullet"/>
        <w:keepLines w:val="0"/>
      </w:pPr>
      <w:r>
        <w:rPr>
          <w:rFonts w:ascii="Noto Sans" w:hAnsi="Noto Sans" w:eastAsia="Arial Unicode MS" w:cs="Noto Sans"/>
          <w:b w:val="0"/>
        </w:rPr>
        <w:t>Anomalie w logowaniu na konto, zapomniane hasła, weryfikacja adresu e-mail lub numeru telefonu, ryzyka bezpieczeństwa konta oraz podejrzenie kradzieży konta;</w:t>
      </w:r>
    </w:p>
    <w:p>
      <w:pPr>
        <w:pStyle w:val="ListBullet"/>
        <w:keepLines w:val="0"/>
      </w:pPr>
      <w:r>
        <w:rPr>
          <w:rFonts w:ascii="Noto Sans" w:hAnsi="Noto Sans" w:eastAsia="Arial Unicode MS" w:cs="Noto Sans"/>
          <w:b w:val="0"/>
        </w:rPr>
        <w:t>Utrata, rozbieżności w ilości lub anomalie statusu postaci, przedmiotów, sprzętu, bestii zjaw, monet złota lub monet magicznych;</w:t>
      </w:r>
    </w:p>
    <w:p>
      <w:pPr>
        <w:pStyle w:val="ListBullet"/>
        <w:keepLines w:val="0"/>
      </w:pPr>
      <w:r>
        <w:rPr>
          <w:rFonts w:ascii="Noto Sans" w:hAnsi="Noto Sans" w:eastAsia="Arial Unicode MS" w:cs="Noto Sans"/>
          <w:b w:val="0"/>
        </w:rPr>
        <w:t>Nieprawidłowe zużycie, nieuzasadnione zyski, anomalie transakcyjne, niewypłacone nagrody, anomalie w nagrodach za wydarzenia lub anomalie w wiadomościach lub systemach komunikacyjnych;</w:t>
      </w:r>
    </w:p>
    <w:p>
      <w:pPr>
        <w:pStyle w:val="ListBullet"/>
        <w:keepLines w:val="0"/>
      </w:pPr>
      <w:r>
        <w:rPr>
          <w:rFonts w:ascii="Noto Sans" w:hAnsi="Noto Sans" w:eastAsia="Arial Unicode MS" w:cs="Noto Sans"/>
          <w:b w:val="0"/>
        </w:rPr>
        <w:t>Ładowanie, zamówienia, zakupy w sklepie stacjonarnym, wymiany oraz powiązane kwestie dotyczące dostawy lub potwierdzenia;</w:t>
      </w:r>
    </w:p>
    <w:p>
      <w:pPr>
        <w:pStyle w:val="ListBullet"/>
        <w:keepLines w:val="0"/>
      </w:pPr>
      <w:r>
        <w:rPr>
          <w:rFonts w:ascii="Noto Sans" w:hAnsi="Noto Sans" w:eastAsia="Arial Unicode MS" w:cs="Noto Sans"/>
          <w:b w:val="0"/>
        </w:rPr>
        <w:t>Opinie dotyczące błędów w grze, usterek funkcjonalnych, awarii, rozłączeń lub niesynchronizacji danych;</w:t>
      </w:r>
    </w:p>
    <w:p>
      <w:pPr>
        <w:pStyle w:val="ListBullet"/>
        <w:keepLines w:val="0"/>
      </w:pPr>
      <w:r>
        <w:rPr>
          <w:rFonts w:ascii="Noto Sans" w:hAnsi="Noto Sans" w:eastAsia="Arial Unicode MS" w:cs="Noto Sans"/>
          <w:b w:val="0"/>
        </w:rPr>
        <w:t>Odwołania dotyczące utraty postaci, przedmiotów, bestii zjaw i waluty wynikających z kradzieży konta;</w:t>
      </w:r>
    </w:p>
    <w:p>
      <w:pPr>
        <w:pStyle w:val="ListBullet"/>
        <w:keepLines w:val="0"/>
      </w:pPr>
      <w:r>
        <w:rPr>
          <w:rFonts w:ascii="Noto Sans" w:hAnsi="Noto Sans" w:eastAsia="Arial Unicode MS" w:cs="Noto Sans"/>
          <w:b w:val="0"/>
        </w:rPr>
        <w:t>Wytyczne dotyczące zapytań i odwołań w przypadku blokad kont, ograniczeń lub innych nieprawidłowych statusów;</w:t>
      </w:r>
    </w:p>
    <w:p>
      <w:pPr>
        <w:pStyle w:val="ListBullet"/>
        <w:keepLines w:val="0"/>
      </w:pPr>
      <w:r>
        <w:rPr>
          <w:rFonts w:ascii="Noto Sans" w:hAnsi="Noto Sans" w:eastAsia="Arial Unicode MS" w:cs="Noto Sans"/>
          <w:b w:val="0"/>
        </w:rPr>
        <w:t>Inne problemy wymagające pomocy centrum wsparcia graczy.</w:t>
      </w:r>
    </w:p>
    <w:p>
      <w:pPr>
        <w:keepLines w:val="0"/>
      </w:pPr>
      <w:r>
        <w:rPr>
          <w:rFonts w:ascii="Noto Sans" w:hAnsi="Noto Sans" w:eastAsia="Arial Unicode MS" w:cs="Noto Sans"/>
          <w:b w:val="0"/>
        </w:rPr>
        <w:t>W sprawach, które można ocenić bezpośrednio na podstawie publicznych materiałów, DAWNBLOOM Fairy może udzielić natychmiastowej odpowiedzi lub wskazać rozwiązanie; w sprawach wymagających sprawdzenia danych serwerowych, dotyczących bezpieczeństwa konta, zapisów transakcji, aktywów w grze, odzyskiwania danych, strat wskutek kradzieży lub odwołań od kar, DAWNBLOOM Fairy może pomagać w weryfikacji tożsamości, porządkowaniu niezbędnych informacji, tworzeniu procedury postępowania, zakładaniu lub przekazywaniu formalnych zgłoszeń oraz wspomagać weryfikację na podstawie zapisów serwera, logów operacji i innych wiarygodnych danych. Intelligent UI łączy odpowiedzi z interaktywnymi kartami informacyjnymi, punktami dostępu do funkcji i interfejsami potwierdzenia. Informacje o fantastycznych stworzeniach, wyposażeniu, przedmiotach, osobistych zapisach gry i bezpieczeństwie konta są udostępniane wyłącznie w zakresie, w którym dana funkcja została uruchomiona, użytkownik udzielił zgodnego z prawem upoważnienia, a system zaplecza potwierdził jego tożsamość i odpowiednie uprawnienia. Pojawienie się odpowiedzi AI, karty lub przycisku nie oznacza wykonania operacji; operacje wrażliwe wymagają formalnej weryfikacji i niezbędnych potwierdzeń, a ich wykonanie ocenia się na podstawie wyniku systemowego. Zabrania się omijania systemu uprawnień w celu modyfikowania danych graczy lub odczytywania niepublicznych informacji innych osób.</w:t>
      </w:r>
    </w:p>
    <w:p>
      <w:pPr>
        <w:keepLines w:val="0"/>
      </w:pPr>
      <w:r>
        <w:rPr>
          <w:rFonts w:ascii="Noto Sans" w:hAnsi="Noto Sans" w:eastAsia="Arial Unicode MS" w:cs="Noto Sans"/>
          <w:b w:val="0"/>
        </w:rPr>
        <w:t>Przewodnik Dawnbloom nie będzie bezpośrednio modyfikować zasobów gry ani danych zaplecza wyłącznie na żądanie gracza. Sprawy dotyczące przywracania przedmiotów, przywracania bestii fantomowych, nienormalnych monet złota lub magii, strat w wyniku kradzieży, sporów transakcyjnych, wydawania nagród lub kar za konto muszą być rozpatrywane w oparciu o faktyczne zapisy, uprawnienia wynikające z zasad oraz niezbędne procedury przeglądowe. W celu ochrony bezpieczeństwa konta, Przewodnik Dawnbloom nigdy nie będzie prosić graczy o podanie haseł do konta lub pełnych jednorazowych kodów weryfikacyjnych. W przypadku operacji na koncie o wysokim ryzyku nadal wymagane będą oficjalne mechanizmy weryfikacji tożsamości w celu potwierdzenia.</w:t>
      </w:r>
    </w:p>
    <w:p>
      <w:pPr>
        <w:keepLines w:val="0"/>
      </w:pPr>
      <w:r>
        <w:rPr>
          <w:rFonts w:ascii="Noto Sans" w:hAnsi="Noto Sans" w:eastAsia="Arial Unicode MS" w:cs="Noto Sans"/>
          <w:b w:val="0"/>
        </w:rPr>
        <w:t>DAWNBLOOM nie ujawni graczom pól backendowych, wewnętrznych wzorów obliczeniowych, nieogłoszonych prawdopodobieństw, wewnętrznych mnożników, strategii bezpieczeństwa, metod eksploatacji luk, niepublikowanych dokumentów planistycznych, informacji administratora ani żadnych innych danych niepublicznych. System AI może wykazywać błędy zrozumienia, opóźnienia w informacjach lub niepełne wyrażanie; jeśli jakakolwiek odpowiedź od Przewodnika Dawnbloom koliduje z oficjalnymi ogłoszeniami, stronami produktów, Polityka prywatności, Zasady Graczy i Polityka Egzekwowania, Warunki sprzedaży i zwrotów, oficjalnie zweryfikowane dane lub wyniki ręcznie sprawdzone, ostateczna interpretacja należy do tych ostatnich.</w:t>
      </w:r>
    </w:p>
    <w:p>
      <w:pPr>
        <w:keepLines w:val="0"/>
      </w:pPr>
      <w:r>
        <w:rPr>
          <w:rFonts w:ascii="Noto Sans" w:hAnsi="Noto Sans" w:eastAsia="Arial Unicode MS" w:cs="Noto Sans"/>
          <w:b w:val="0"/>
        </w:rPr>
        <w:t>Integracja techniczna wykorzystuje możliwości modelu Qwen udostępniane przez Alibaba Cloud Model Studio; połączenie z modelem korzysta z punktu końcowego w regionie Tokio w Japonii. Region, w którym znajduje się punkt końcowy, nie oznacza, że wszystkie dane użytkowników są przetwarzane wyłącznie w Japonii, i nie zastępuje weryfikacji rzeczywistych umów o świadczenie usług, logów dostawcy, mechanizmów kontroli wykorzystania do trenowania, ustawień przechowywania ani obowiązków związanych z transgranicznym przekazywaniem danych. OpenAI Codex uczestniczy w budowie systemu wiedzy, rozwoju funkcji, projektowaniu interakcji i ciągłym doskonaleniu; nie uzyskuje z tego powodu automatycznie danych z rozmów użytkowników, ani nie oznacza to, że wytrenował bazowy model Qwen.</w:t>
      </w:r>
    </w:p>
    <w:p>
      <w:pPr>
        <w:pStyle w:val="Heading1"/>
        <w:keepLines w:val="0"/>
      </w:pPr>
      <w:r>
        <w:rPr>
          <w:rFonts w:ascii="Noto Sans" w:hAnsi="Noto Sans" w:eastAsia="Arial Unicode MS" w:cs="Noto Sans"/>
          <w:b w:val="0"/>
        </w:rPr>
        <w:t>11. Luki w zabezpieczeniach, zastrzeżenia prawne oraz żądania organów ścigania</w:t>
      </w:r>
    </w:p>
    <w:p>
      <w:pPr>
        <w:keepLines w:val="0"/>
      </w:pPr>
      <w:r>
        <w:rPr>
          <w:rFonts w:ascii="Noto Sans" w:hAnsi="Noto Sans" w:eastAsia="Arial Unicode MS" w:cs="Noto Sans"/>
          <w:b w:val="0"/>
        </w:rPr>
        <w:t xml:space="preserve">Jeśli odkryjesz luki bezpieczeństwa na oficjalnej stronie internetowej, systemie kont, DAWNBLOOM Community, obsłudze klienta AI lub usługach gier, które mogą zagrozić kontom graczy, danym lub bezpieczeństwu usługi, zalecamy odpowiedzialne ujawnianie ich za pośrednictwem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lub oficjalnego wsparcia klienta. Nie ujawniaj publicznie szczegółów exploitów, metod kopiowania przedmiotów, skryptów ataku, danych logowania, informacji osobowych innych osób ani wewnętrznych danych backendowych, które mogłyby zostać natychmiast nadużyte.</w:t>
      </w:r>
    </w:p>
    <w:p>
      <w:pPr>
        <w:keepLines w:val="0"/>
      </w:pPr>
      <w:r>
        <w:rPr>
          <w:rFonts w:ascii="Noto Sans" w:hAnsi="Noto Sans" w:eastAsia="Arial Unicode MS" w:cs="Noto Sans"/>
          <w:b w:val="0"/>
        </w:rPr>
        <w:t>Żądania dotyczące zachowania, ujawnienia, usunięcia, zablokowania lub pomocy przesłane przez sądy, organy regulacyjne, służby ścigania lub inne podmioty uprawnione prawnie będą rozpatrywane i przetwarzane zgodnie z obowiązującym prawem, uprawnieniami do żądania, autentycznością i koniecznością. Granice ujawniania i przechowywania danych osobowych są określone w Polityce prywatności.</w:t>
      </w:r>
    </w:p>
    <w:p>
      <w:pPr>
        <w:pStyle w:val="Heading1"/>
        <w:keepLines w:val="0"/>
      </w:pPr>
      <w:r>
        <w:rPr>
          <w:rFonts w:ascii="Noto Sans" w:hAnsi="Noto Sans" w:eastAsia="Arial Unicode MS" w:cs="Noto Sans"/>
          <w:b w:val="0"/>
        </w:rPr>
        <w:t>12. Indeks informacji prawnych regionalnych</w:t>
      </w:r>
    </w:p>
    <w:p>
      <w:pPr>
        <w:keepLines w:val="0"/>
      </w:pPr>
      <w:r>
        <w:rPr>
          <w:rFonts w:ascii="Noto Sans" w:hAnsi="Noto Sans" w:eastAsia="Arial Unicode MS" w:cs="Noto Sans"/>
          <w:b w:val="0"/>
        </w:rPr>
        <w:t>Ta strona służy jako ogólny punkt wejścia do informacji prawnych i nie zastępuje obowiązkowych ujawnień wymaganych przez właściwe jurysdykcje. W przypadku zmian dotyczących jednostki operacyjnej, lokalizacji serwera, metody przetwarzania płatności, informacji o sprzedawcy, modelu UGC forum lub polityk sklepu z aplikacjami, odpowiednie strony prawne zostaną odpowiednio zaktualizowane.</w:t>
      </w:r>
    </w:p>
    <w:p>
      <w:pPr>
        <w:pStyle w:val="Heading1"/>
        <w:keepLines w:val="0"/>
      </w:pPr>
      <w:r>
        <w:rPr>
          <w:rFonts w:ascii="Noto Sans" w:hAnsi="Noto Sans" w:eastAsia="Arial Unicode MS" w:cs="Noto Sans"/>
          <w:b w:val="0"/>
        </w:rPr>
        <w:t>13. Kontakt</w:t>
      </w:r>
    </w:p>
    <w:p>
      <w:pPr>
        <w:keepLines w:val="0"/>
      </w:pPr>
      <w:r>
        <w:rPr>
          <w:rFonts w:ascii="Noto Sans" w:hAnsi="Noto Sans" w:eastAsia="Arial Unicode MS" w:cs="Noto Sans"/>
          <w:b w:val="0"/>
        </w:rPr>
        <w:t xml:space="preserve">Ogólne wsparcie graczy: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Zapytania prawne, dotyczące praw autorskich i prywatności: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Luki bezpieczeństwa i incydenty bezpieczeństwa: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Współpraca medialna i biznesowa: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Oficjalne domeny i wejścia regionalne zostały zidentyfikowane w sekcji 1; istniejące domeny ochrony marki są wymienione w bieżącym Ostrzeżeniu o Oficjalnych Kanałach i Antyoszustwach. Konto DAWNBLOOM i DAWNBLOOM Community pozostają częścią tej samej usługi, a oficjalne adresy e-mail używają domeny @dawnbloom.net.</w:t>
      </w:r>
    </w:p>
    <w:p>
      <w:pPr>
        <w:keepLines w:val="0"/>
      </w:pPr>
      <w:r>
        <w:rPr>
          <w:rFonts w:ascii="Noto Sans" w:hAnsi="Noto Sans" w:eastAsia="Arial Unicode MS" w:cs="Noto Sans"/>
          <w:b w:val="0"/>
        </w:rPr>
        <w:t>Operator / dostawca usług strony internetowej: Shanghai Zhuiguang Zhichuang Culture Media Co., Ltd. (Publiczna nazwa angielska: SHANGHAI LUMIREALM CREATIVE MEDIA CO., LTD.)</w:t>
      </w:r>
    </w:p>
    <w:p>
      <w:pPr>
        <w:keepLines w:val="0"/>
      </w:pPr>
      <w:r>
        <w:rPr>
          <w:rFonts w:ascii="Noto Sans" w:hAnsi="Noto Sans" w:eastAsia="Arial Unicode MS" w:cs="Noto Sans"/>
          <w:b w:val="0"/>
        </w:rPr>
        <w:t>Adres operacyjny / oficjalny adres kontaktowy: Pokój 218, Budynek 3, Nr 336 Tianjiao Road, Specjalna Strefa Wolnego Handlu Lin-gang, Chińska Republika Ludowa (Chiny) (Pilot Free Trade Zone of the China (Shanghai))</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Informacje prawne i zastrzeżenia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