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Polityka dotycząca plików cookie i podobnych technologii DAWNBLOOM</w:t>
      </w:r>
    </w:p>
    <w:p>
      <w:pPr>
        <w:keepLines w:val="0"/>
      </w:pPr>
      <w:r>
        <w:rPr>
          <w:rFonts w:ascii="Noto Sans" w:hAnsi="Noto Sans" w:eastAsia="Noto Sans TC" w:cs="Noto Sans"/>
          <w:b w:val="0"/>
        </w:rPr>
        <w:t>Polityka dotycząca plików cookie i podobnych technologii · Wersja oficjalna</w:t>
      </w:r>
    </w:p>
    <w:p>
      <w:pPr>
        <w:keepLines w:val="0"/>
      </w:pPr>
      <w:r>
        <w:rPr>
          <w:rFonts w:ascii="Noto Sans" w:hAnsi="Noto Sans" w:eastAsia="Noto Sans TC" w:cs="Noto Sans"/>
          <w:b w:val="0"/>
        </w:rPr>
        <w:t xml:space="preserve">Wersja: V7  </w:t>
      </w:r>
    </w:p>
    <w:p>
      <w:pPr>
        <w:keepLines w:val="0"/>
      </w:pPr>
      <w:r>
        <w:rPr>
          <w:rFonts w:ascii="Noto Sans" w:hAnsi="Noto Sans" w:eastAsia="Noto Sans TC" w:cs="Noto Sans"/>
          <w:b w:val="0"/>
        </w:rPr>
        <w:t>Data wejścia w życie: 9 października 2026</w:t>
      </w:r>
    </w:p>
    <w:p>
      <w:pPr>
        <w:keepLines w:val="0"/>
      </w:pPr>
      <w:r>
        <w:rPr>
          <w:rFonts w:ascii="Noto Sans" w:hAnsi="Noto Sans" w:eastAsia="Noto Sans TC" w:cs="Noto Sans"/>
          <w:b w:val="0"/>
        </w:rPr>
        <w:t xml:space="preserve">Zaktualizowano: 9 października 2026  </w:t>
      </w:r>
    </w:p>
    <w:p>
      <w:pPr>
        <w:keepLines w:val="0"/>
      </w:pPr>
      <w:r>
        <w:rPr>
          <w:rFonts w:ascii="Noto Sans" w:hAnsi="Noto Sans" w:eastAsia="Noto Sans TC" w:cs="Noto Sans"/>
          <w:b w:val="0"/>
        </w:rPr>
      </w:r>
    </w:p>
    <w:p>
      <w:pPr>
        <w:keepLines w:val="0"/>
      </w:pPr>
      <w:r>
        <w:rPr>
          <w:rFonts w:ascii="Noto Sans" w:hAnsi="Noto Sans" w:eastAsia="Noto Sans TC" w:cs="Noto Sans"/>
          <w:b w:val="0"/>
        </w:rPr>
        <w:t>Zakres stosowania: dawnbloom.net, oficjalne poddomeny, DAWNBLOOM Community oraz powiązane usługi internetowe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Obecne zasady projektowania:</w:t>
              <w:br/>
              <w:t>DAWNBLOOM obecnie nie integruje narzędzi do śledzenia marketingu stron trzecich, takich jak Google Analytics czy Meta Pixel. Informacje o użytkownikach nie będą sprzedawane ani udostępniane platformom reklamowym behawioralnym działającym między witrynami lub w różnych kontekstach. Nie będą ustawiane pliki cookie celowane reklamowo. Niniejsza polityka ogranicza zatem użycie plików cookie i podobnych technologii do tych niezbędnych do zarządzania kontem, korzystania z forum, funkcji sklepu, preferencji językowych oraz ochrony bezpieczeństwa.</w:t>
            </w:r>
          </w:p>
        </w:tc>
      </w:tr>
    </w:tbl>
    <w:p>
      <w:pPr>
        <w:spacing w:after="40"/>
      </w:pPr>
    </w:p>
    <w:p>
      <w:pPr>
        <w:pStyle w:val="Heading1"/>
        <w:keepLines w:val="0"/>
      </w:pPr>
      <w:r>
        <w:rPr>
          <w:rFonts w:ascii="Noto Sans" w:hAnsi="Noto Sans" w:eastAsia="Noto Sans TC" w:cs="Noto Sans"/>
          <w:b w:val="0"/>
        </w:rPr>
        <w:t>Podsumowanie na jednej stronie: Jak korzystamy z plików cookie</w:t>
      </w:r>
    </w:p>
    <w:p>
      <w:pPr>
        <w:pStyle w:val="ListBullet"/>
        <w:keepLines w:val="0"/>
      </w:pPr>
      <w:r>
        <w:rPr>
          <w:rFonts w:ascii="Noto Sans" w:hAnsi="Noto Sans" w:eastAsia="Noto Sans TC" w:cs="Noto Sans"/>
          <w:b w:val="0"/>
        </w:rPr>
        <w:t>Korzystamy z pamięci przeglądarki pierwszej strony do utrzymywania sesji logowania i społeczności, ochrony żądań, zapamiętywania wybranego języka witryny oraz ustawień mini-gier. Stany transakcji sklepu nie są obecnie włączone.</w:t>
      </w:r>
    </w:p>
    <w:p>
      <w:pPr>
        <w:pStyle w:val="ListBullet"/>
        <w:keepLines w:val="0"/>
      </w:pPr>
      <w:r>
        <w:rPr>
          <w:rFonts w:ascii="Noto Sans" w:hAnsi="Noto Sans" w:eastAsia="Noto Sans TC" w:cs="Noto Sans"/>
          <w:b w:val="0"/>
        </w:rPr>
        <w:t>Niniejszo nie używamy plików cookie do śledzenia reklam, nie wyświetlamy reklam behawioralnych między witrynami i nie wdrażamy Google Analytics ani Meta Pixel.</w:t>
      </w:r>
    </w:p>
    <w:p>
      <w:pPr>
        <w:pStyle w:val="ListBullet"/>
        <w:keepLines w:val="0"/>
      </w:pPr>
      <w:r>
        <w:rPr>
          <w:rFonts w:ascii="Noto Sans" w:hAnsi="Noto Sans" w:eastAsia="Noto Sans TC" w:cs="Noto Sans"/>
          <w:b w:val="0"/>
        </w:rPr>
        <w:t>Cloudflare, jako dostawca usług DNS/CDN/bezpieczeństwa, może ustawiać niezbędne pliki cookie bezpieczeństwa przy włączaniu funkcji takich jak wyzwania bezpieczeństwa, Bot Fight oraz limitowanie szybkości, w zależności od rzeczywistej konfiguracji.</w:t>
      </w:r>
    </w:p>
    <w:p>
      <w:pPr>
        <w:pStyle w:val="ListBullet"/>
        <w:keepLines w:val="0"/>
      </w:pPr>
      <w:r>
        <w:rPr>
          <w:rFonts w:ascii="Noto Sans" w:hAnsi="Noto Sans" w:eastAsia="Noto Sans TC" w:cs="Noto Sans"/>
          <w:b w:val="0"/>
        </w:rPr>
        <w:t>Możesz usuwać lub blokować pliki cookie w przeglądarce. Zablokowanie elementów niezbędnych do logowania i bezpieczeństwa może uniemożliwić zalogowanie się, zakończyć sesję społecznościową lub wymusić ponowne przejście przez wyzwanie bezpieczeństwa.</w:t>
      </w:r>
    </w:p>
    <w:p>
      <w:pPr>
        <w:pStyle w:val="ListBullet"/>
        <w:keepLines w:val="0"/>
      </w:pPr>
      <w:r>
        <w:rPr>
          <w:rFonts w:ascii="Noto Sans" w:hAnsi="Noto Sans" w:eastAsia="Noto Sans TC" w:cs="Noto Sans"/>
          <w:b w:val="0"/>
        </w:rPr>
        <w:t>W przyszłości, jeśli wprowadzimy nieistotne analityki, reklamy lub inne technologie śledzące, najpierw zaktualizujemy niniejszą politykę i, zgodnie z wymogami obowiązującego prawa, zapewnimy użytkownikom mechanizmy wyrażania zgody, rezygnacji lub cofania takiej zgody.</w:t>
      </w:r>
    </w:p>
    <w:p>
      <w:pPr>
        <w:pStyle w:val="Heading1"/>
        <w:keepLines w:val="0"/>
      </w:pPr>
      <w:r>
        <w:rPr>
          <w:rFonts w:ascii="Noto Sans" w:hAnsi="Noto Sans" w:eastAsia="Noto Sans TC" w:cs="Noto Sans"/>
          <w:b w:val="0"/>
        </w:rPr>
        <w:t>1. Zakres stosowania i relacja z niniejszą polityką</w:t>
      </w:r>
    </w:p>
    <w:p>
      <w:pPr>
        <w:keepLines w:val="0"/>
      </w:pPr>
      <w:r>
        <w:rPr>
          <w:rFonts w:ascii="Noto Sans" w:hAnsi="Noto Sans" w:eastAsia="Noto Sans TC" w:cs="Noto Sans"/>
          <w:b w:val="0"/>
        </w:rPr>
        <w:t xml:space="preserve">Niniejsza Polityka ma zastosowanie do globalnej głównej strony dawnbloom.net oraz oficjalnych poddomen, DAWNBLOOM Community, konta, Wsparcia, stron pobierania i sklepu, a także odpowiednich technologii w wpisach przekierowania językowego regionalnego dawnbloom.com.cn i dawnbloom.jp z ich wpisami www. Oficjalne wpisy koreańskie dawnbloom.kr i www.dawnbloom.kr używają przekierowań HTTPS 301 do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Zmiany DNS mogą wymagać czasu na propagację. Używają one ujednoliconej witryny internetowej i nie tworzą osobnej witryny, konta, bazy danych ani serwera gry koreańskiej. Wpisy regionalne nie mają osobnych stron biznesowych. Oba wpisy regionalne są otwarte i używają przekierowań HTTPS 301 do odpowiednio ścieżek chińskiej i japońskiej głównej witryny. Normalne odpowiedzi przekierowania nie ustawiają oddzielnych ciasteczek biznesowych ani nie zapewniają niezależnych stron ani skryptów analitycznych. Konfiguracja raportowania błędów sieci Cloudflare może nadal obejmować niezbędne dane sieciowe; konkretne dzienniki i ustawienia bezpieczeństwa zależą od rzeczywistej konfiguracji usługi. Przekierowanie nie oznacza, że dane dostępu są nieprzetworzone; niezbędne ciasteczka bezpieczeństwa zależą od rzeczywistej konfiguracji i wizyty. Niniejsza Polityka nie wymyśla nazw ciasteczek specyficznych dla wpisu ani okresów przechowywania. Po wejściu na główną witrynę sesje i przechowywanie języka podążają za poniższą aktualną inwentaryzacją. Zobacz ostrzeżenie przeciwko oszustwom dotyczące istniejących wpisów ochrony marki. Ciasteczka i dane WebView/WebKit z witryn osób trzecich odwiedzanych w Przeglądarce nie są ciasteczkami pierwszej strony głównej witryny; ujednolicona Polityka prywatności, Warunki Użytkowania Przeglądarki oraz polityki tych stron wyjaśniają ich obsługę.</w:t>
      </w:r>
    </w:p>
    <w:p>
      <w:pPr>
        <w:keepLines w:val="0"/>
      </w:pPr>
      <w:r>
        <w:rPr>
          <w:rFonts w:ascii="Noto Sans" w:hAnsi="Noto Sans" w:eastAsia="Noto Sans TC" w:cs="Noto Sans"/>
          <w:b w:val="0"/>
        </w:rPr>
        <w:t>Siedem stron produktów witryny, strony statusu pobierania, wsparcia i strony prawne mieszczą się w zakresie tej polityki witryny. Dane przeglądania lokalnego, preferencji wiadomości, poczty lub plików w aplikacji nie stają się ciasteczkiem witryny jedynie dlatego, że jest to produkt DAWNBLOOM; zobacz politykę prywatności dla każdej granicy.</w:t>
      </w:r>
    </w:p>
    <w:p>
      <w:pPr>
        <w:keepLines w:val="0"/>
      </w:pPr>
      <w:r>
        <w:rPr>
          <w:rFonts w:ascii="Noto Sans" w:hAnsi="Noto Sans" w:eastAsia="Noto Sans TC" w:cs="Noto Sans"/>
          <w:b w:val="0"/>
        </w:rPr>
        <w:t>Niniejsza Polityka uzupełnia Politykę Prywatności DAWNBLOOM w zakresie ciasteczek witryny. Przetwarzanie danych osobowych pozostaje objęte niniejszą Polityką Prywatności oraz obowiązującym prawem. W przypadku sprzeczności stosuje się przepis prawny zapewniający większą ochronę praw użytkowników.</w:t>
      </w:r>
    </w:p>
    <w:p>
      <w:pPr>
        <w:keepLines w:val="0"/>
      </w:pPr>
      <w:r>
        <w:rPr>
          <w:rFonts w:ascii="Noto Sans" w:hAnsi="Noto Sans" w:eastAsia="Noto Sans TC" w:cs="Noto Sans"/>
          <w:b w:val="0"/>
        </w:rPr>
        <w:t>Strony internetowe i usługi osób trzecich, takie jak Steam, Apple, WeChat, Alipay, UnionPay, Visa, Mastercard, WhatsApp, Facebook, Instagram, YouTube, mogą używać ciasteczek lub podobnych technologii na swoich własnych domenach, stronach, SDK lub w przepływach płatności/logowania. Takie użytkowanie jest regulowane przez własne polityki odpowiednich osób trzecich.</w:t>
      </w:r>
    </w:p>
    <w:p>
      <w:pPr>
        <w:pStyle w:val="Heading1"/>
        <w:keepLines w:val="0"/>
      </w:pPr>
      <w:r>
        <w:rPr>
          <w:rFonts w:ascii="Noto Sans" w:hAnsi="Noto Sans" w:eastAsia="Noto Sans TC" w:cs="Noto Sans"/>
          <w:b w:val="0"/>
        </w:rPr>
        <w:t>2. Czym są pliki cookie i „podobne technologie”?</w:t>
      </w:r>
    </w:p>
    <w:p>
      <w:pPr>
        <w:keepLines w:val="0"/>
      </w:pPr>
      <w:r>
        <w:rPr>
          <w:rFonts w:ascii="Noto Sans" w:hAnsi="Noto Sans" w:eastAsia="Noto Sans TC" w:cs="Noto Sans"/>
          <w:b w:val="0"/>
        </w:rPr>
        <w:t>Ciasteczko to mały fragment danych przechowywany na Twoim urządzeniu przez witrynę za pośrednictwem przeglądarki, powszechnie używany do identyfikacji sesji, utrzymania statusu logowania, zapamiętywania preferencji użytkownika, ochrony witryny przed nadużyciami lub realizowania procesów zakupowych.</w:t>
      </w:r>
    </w:p>
    <w:p>
      <w:pPr>
        <w:keepLines w:val="0"/>
      </w:pPr>
      <w:r>
        <w:rPr>
          <w:rFonts w:ascii="Noto Sans" w:hAnsi="Noto Sans" w:eastAsia="Noto Sans TC" w:cs="Noto Sans"/>
          <w:b w:val="0"/>
        </w:rPr>
        <w:t>"Podobne technologie" obejmują między innymi lokalne przechowywanie w przeglądarce (Local Storage), przechowywanie sesji (Session Storage), bezpieczne tokeny, identyfikatory urządzeń lub przeglądarek oraz inne mechanizmy przechowywania lub identyfikacji w sieci wykorzystywane do osiągnięcia podobnych funkcji.</w:t>
      </w:r>
    </w:p>
    <w:p>
      <w:pPr>
        <w:keepLines w:val="0"/>
      </w:pPr>
      <w:r>
        <w:rPr>
          <w:rFonts w:ascii="Noto Sans" w:hAnsi="Noto Sans" w:eastAsia="Noto Sans TC" w:cs="Noto Sans"/>
          <w:b w:val="0"/>
        </w:rPr>
        <w:t>Zgodnie z publicznymi wytycznymi Japońskiej Komisji Ochrony Informacji Osobowych, identyfikatory urządzeń, takie jak pliki cookie, mogą nadal podlegać jako informacje odnoszące się do osób fizycznych, nawet jeśli same w sobie nie stanowią informacji osobowych (personal information). Jeśli można je łatwo połączyć z innymi informacjami w celu zidentyfikowania konkretnej osoby, połączone informacje mogą zostać uznane za informacje osobowe (personal information). W związku z tym nie zakładamy, że pliki cookie nie są danymi osobowymi.</w:t>
      </w:r>
    </w:p>
    <w:p>
      <w:pPr>
        <w:pStyle w:val="Heading1"/>
        <w:keepLines w:val="0"/>
      </w:pPr>
      <w:r>
        <w:rPr>
          <w:rFonts w:ascii="Noto Sans" w:hAnsi="Noto Sans" w:eastAsia="Noto Sans TC" w:cs="Noto Sans"/>
          <w:b w:val="0"/>
        </w:rPr>
        <w:t>3. Rodzaje technologii, z których obecnie korzystamy</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Kategorie</w:t>
            </w:r>
          </w:p>
        </w:tc>
        <w:tc>
          <w:tcPr>
            <w:tcW w:type="dxa" w:w="1949"/>
            <w:vAlign w:val="center"/>
            <w:shd w:fill="DCE8F7"/>
          </w:tcPr>
          <w:p>
            <w:pPr>
              <w:keepNext/>
              <w:spacing w:after="40"/>
            </w:pPr>
            <w:r>
              <w:rPr>
                <w:rFonts w:ascii="Noto Sans" w:hAnsi="Noto Sans" w:eastAsia="Noto Sans TC" w:cs="Noto Sans"/>
                <w:b/>
                <w:sz w:val="17"/>
              </w:rPr>
              <w:t>Typowe przypadki użycia</w:t>
            </w:r>
          </w:p>
        </w:tc>
        <w:tc>
          <w:tcPr>
            <w:tcW w:type="dxa" w:w="1949"/>
            <w:vAlign w:val="center"/>
            <w:shd w:fill="DCE8F7"/>
          </w:tcPr>
          <w:p>
            <w:pPr>
              <w:keepNext/>
              <w:spacing w:after="40"/>
            </w:pPr>
            <w:r>
              <w:rPr>
                <w:rFonts w:ascii="Noto Sans" w:hAnsi="Noto Sans" w:eastAsia="Noto Sans TC" w:cs="Noto Sans"/>
                <w:b/>
                <w:sz w:val="17"/>
              </w:rPr>
              <w:t>Aktualny status</w:t>
            </w:r>
          </w:p>
        </w:tc>
        <w:tc>
          <w:tcPr>
            <w:tcW w:type="dxa" w:w="1949"/>
            <w:vAlign w:val="center"/>
            <w:shd w:fill="DCE8F7"/>
          </w:tcPr>
          <w:p>
            <w:pPr>
              <w:keepNext/>
              <w:spacing w:after="40"/>
            </w:pPr>
            <w:r>
              <w:rPr>
                <w:rFonts w:ascii="Noto Sans" w:hAnsi="Noto Sans" w:eastAsia="Noto Sans TC" w:cs="Noto Sans"/>
                <w:b/>
                <w:sz w:val="17"/>
              </w:rPr>
              <w:t>Może zostać wyłączony</w:t>
            </w:r>
          </w:p>
        </w:tc>
        <w:tc>
          <w:tcPr>
            <w:tcW w:type="dxa" w:w="1949"/>
            <w:vAlign w:val="center"/>
            <w:shd w:fill="DCE8F7"/>
          </w:tcPr>
          <w:p>
            <w:pPr>
              <w:keepNext/>
              <w:spacing w:after="40"/>
            </w:pPr>
            <w:r>
              <w:rPr>
                <w:rFonts w:ascii="Noto Sans" w:hAnsi="Noto Sans" w:eastAsia="Noto Sans TC" w:cs="Noto Sans"/>
                <w:b/>
                <w:sz w:val="17"/>
              </w:rPr>
              <w:t>Zasady przechowywania i retencji</w:t>
            </w:r>
          </w:p>
        </w:tc>
      </w:tr>
      <w:tr>
        <w:trPr>
          <w:cantSplit/>
        </w:trPr>
        <w:tc>
          <w:tcPr>
            <w:tcW w:type="dxa" w:w="1949"/>
            <w:vAlign w:val="center"/>
          </w:tcPr>
          <w:p>
            <w:pPr>
              <w:spacing w:after="40"/>
            </w:pPr>
            <w:r>
              <w:rPr>
                <w:rFonts w:ascii="Noto Sans" w:hAnsi="Noto Sans" w:eastAsia="Noto Sans TC" w:cs="Noto Sans"/>
                <w:sz w:val="17"/>
              </w:rPr>
              <w:t>Ścisłe wymogi / Bezpieczeństwo</w:t>
            </w:r>
          </w:p>
        </w:tc>
        <w:tc>
          <w:tcPr>
            <w:tcW w:type="dxa" w:w="1949"/>
            <w:vAlign w:val="center"/>
          </w:tcPr>
          <w:p>
            <w:pPr>
              <w:spacing w:after="40"/>
            </w:pPr>
            <w:r>
              <w:rPr>
                <w:rFonts w:ascii="Noto Sans" w:hAnsi="Noto Sans" w:eastAsia="Noto Sans TC" w:cs="Noto Sans"/>
                <w:sz w:val="17"/>
              </w:rPr>
              <w:t>Sesje logowania, weryfikacja tożsamości, ochrona przed CSRF/atakami replikacji, wyzwania bezpieczeństwa, ograniczanie częstotliwości, zarządzanie sesjami forum i przepływy transakcji w sklepie</w:t>
            </w:r>
          </w:p>
        </w:tc>
        <w:tc>
          <w:tcPr>
            <w:tcW w:type="dxa" w:w="1949"/>
            <w:vAlign w:val="center"/>
          </w:tcPr>
          <w:p>
            <w:pPr>
              <w:spacing w:after="40"/>
            </w:pPr>
            <w:r>
              <w:rPr>
                <w:rFonts w:ascii="Noto Sans" w:hAnsi="Noto Sans" w:eastAsia="Noto Sans TC" w:cs="Noto Sans"/>
                <w:sz w:val="17"/>
              </w:rPr>
              <w:t>Używane w rzeczywistych kontekstach logowania/bezpieczeństwa; przechowywanie transakcji jest wyłączone</w:t>
            </w:r>
          </w:p>
        </w:tc>
        <w:tc>
          <w:tcPr>
            <w:tcW w:type="dxa" w:w="1949"/>
            <w:vAlign w:val="center"/>
          </w:tcPr>
          <w:p>
            <w:pPr>
              <w:spacing w:after="40"/>
            </w:pPr>
            <w:r>
              <w:rPr>
                <w:rFonts w:ascii="Noto Sans" w:hAnsi="Noto Sans" w:eastAsia="Noto Sans TC" w:cs="Noto Sans"/>
                <w:sz w:val="17"/>
              </w:rPr>
              <w:t>Zazwyczaj nie można anulować podczas korzystania z podstawowych funkcji</w:t>
            </w:r>
          </w:p>
        </w:tc>
        <w:tc>
          <w:tcPr>
            <w:tcW w:type="dxa" w:w="1949"/>
            <w:vAlign w:val="center"/>
          </w:tcPr>
          <w:p>
            <w:pPr>
              <w:spacing w:after="40"/>
            </w:pPr>
            <w:r>
              <w:rPr>
                <w:rFonts w:ascii="Noto Sans" w:hAnsi="Noto Sans" w:eastAsia="Noto Sans TC" w:cs="Noto Sans"/>
                <w:sz w:val="17"/>
              </w:rPr>
              <w:t>Najkrótszy rozsądny czas wymagany podczas sesji lub w celu osiągnięcia celów bezpieczeństwa/transakcji; konkretne okresy retencji zostaną zdefiniowane w oficjalnej liście ciasteczek</w:t>
            </w:r>
          </w:p>
        </w:tc>
      </w:tr>
      <w:tr>
        <w:trPr>
          <w:cantSplit/>
        </w:trPr>
        <w:tc>
          <w:tcPr>
            <w:tcW w:type="dxa" w:w="1949"/>
            <w:vAlign w:val="center"/>
          </w:tcPr>
          <w:p>
            <w:pPr>
              <w:spacing w:after="40"/>
            </w:pPr>
            <w:r>
              <w:rPr>
                <w:rFonts w:ascii="Noto Sans" w:hAnsi="Noto Sans" w:eastAsia="Noto Sans TC" w:cs="Noto Sans"/>
                <w:sz w:val="17"/>
              </w:rPr>
              <w:t>Preferencje i funkcjonalność</w:t>
            </w:r>
          </w:p>
        </w:tc>
        <w:tc>
          <w:tcPr>
            <w:tcW w:type="dxa" w:w="1949"/>
            <w:vAlign w:val="center"/>
          </w:tcPr>
          <w:p>
            <w:pPr>
              <w:spacing w:after="40"/>
            </w:pPr>
            <w:r>
              <w:rPr>
                <w:rFonts w:ascii="Noto Sans" w:hAnsi="Noto Sans" w:eastAsia="Noto Sans TC" w:cs="Noto Sans"/>
                <w:sz w:val="17"/>
              </w:rPr>
              <w:t>Zapamiętaj wybrany język witryny, preferencje interfejsu oraz niezbędne zapamiętane wybory.</w:t>
            </w:r>
          </w:p>
        </w:tc>
        <w:tc>
          <w:tcPr>
            <w:tcW w:type="dxa" w:w="1949"/>
            <w:vAlign w:val="center"/>
          </w:tcPr>
          <w:p>
            <w:pPr>
              <w:spacing w:after="40"/>
            </w:pPr>
            <w:r>
              <w:rPr>
                <w:rFonts w:ascii="Noto Sans" w:hAnsi="Noto Sans" w:eastAsia="Noto Sans TC" w:cs="Noto Sans"/>
                <w:sz w:val="17"/>
              </w:rPr>
              <w:t>Obecnie używane do języka witryny i preferencji mini-gier</w:t>
            </w:r>
          </w:p>
        </w:tc>
        <w:tc>
          <w:tcPr>
            <w:tcW w:type="dxa" w:w="1949"/>
            <w:vAlign w:val="center"/>
          </w:tcPr>
          <w:p>
            <w:pPr>
              <w:spacing w:after="40"/>
            </w:pPr>
            <w:r>
              <w:rPr>
                <w:rFonts w:ascii="Noto Sans" w:hAnsi="Noto Sans" w:eastAsia="Noto Sans TC" w:cs="Noto Sans"/>
                <w:sz w:val="17"/>
              </w:rPr>
              <w:t>Może zostać wyczyszczony za pomocą ustawień przeglądarki lub przyszłych opcji konfiguracji ciasteczek</w:t>
            </w:r>
          </w:p>
        </w:tc>
        <w:tc>
          <w:tcPr>
            <w:tcW w:type="dxa" w:w="1949"/>
            <w:vAlign w:val="center"/>
          </w:tcPr>
          <w:p>
            <w:pPr>
              <w:spacing w:after="40"/>
            </w:pPr>
            <w:r>
              <w:rPr>
                <w:rFonts w:ascii="Noto Sans" w:hAnsi="Noto Sans" w:eastAsia="Noto Sans TC" w:cs="Noto Sans"/>
                <w:sz w:val="17"/>
              </w:rPr>
              <w:t>zg-locale i wyciszenie mini-gier pozostają aktywne do momentu wyczyszczenia; pozycja muzyki dotyczy bieżącej sesji karty</w:t>
            </w:r>
          </w:p>
        </w:tc>
      </w:tr>
      <w:tr>
        <w:trPr>
          <w:cantSplit/>
        </w:trPr>
        <w:tc>
          <w:tcPr>
            <w:tcW w:type="dxa" w:w="1949"/>
            <w:vAlign w:val="center"/>
          </w:tcPr>
          <w:p>
            <w:pPr>
              <w:spacing w:after="40"/>
            </w:pPr>
            <w:r>
              <w:rPr>
                <w:rFonts w:ascii="Noto Sans" w:hAnsi="Noto Sans" w:eastAsia="Noto Sans TC" w:cs="Noto Sans"/>
                <w:sz w:val="17"/>
              </w:rPr>
              <w:t>Wydajność / Analiza</w:t>
            </w:r>
          </w:p>
        </w:tc>
        <w:tc>
          <w:tcPr>
            <w:tcW w:type="dxa" w:w="1949"/>
            <w:vAlign w:val="center"/>
          </w:tcPr>
          <w:p>
            <w:pPr>
              <w:spacing w:after="40"/>
            </w:pPr>
            <w:r>
              <w:rPr>
                <w:rFonts w:ascii="Noto Sans" w:hAnsi="Noto Sans" w:eastAsia="Noto Sans TC" w:cs="Noto Sans"/>
                <w:sz w:val="17"/>
              </w:rPr>
              <w:t>Śledź liczbę odwiedzin, czas spędzony na stronie, źródła ruchu, konwersje marketingowe i inne dane analityczne</w:t>
            </w:r>
          </w:p>
        </w:tc>
        <w:tc>
          <w:tcPr>
            <w:tcW w:type="dxa" w:w="1949"/>
            <w:vAlign w:val="center"/>
          </w:tcPr>
          <w:p>
            <w:pPr>
              <w:spacing w:after="40"/>
            </w:pPr>
            <w:r>
              <w:rPr>
                <w:rFonts w:ascii="Noto Sans" w:hAnsi="Noto Sans" w:eastAsia="Noto Sans TC" w:cs="Noto Sans"/>
                <w:sz w:val="17"/>
              </w:rPr>
              <w:t>Obecnie nie używamy plików cookie analizy stron osób trzecich</w:t>
            </w:r>
          </w:p>
        </w:tc>
        <w:tc>
          <w:tcPr>
            <w:tcW w:type="dxa" w:w="1949"/>
            <w:vAlign w:val="center"/>
          </w:tcPr>
          <w:p>
            <w:pPr>
              <w:spacing w:after="40"/>
            </w:pPr>
            <w:r>
              <w:rPr>
                <w:rFonts w:ascii="Noto Sans" w:hAnsi="Noto Sans" w:eastAsia="Noto Sans TC" w:cs="Noto Sans"/>
                <w:sz w:val="17"/>
              </w:rPr>
              <w:t>Niniejszy rozdział nie dotyczy</w:t>
            </w:r>
          </w:p>
        </w:tc>
        <w:tc>
          <w:tcPr>
            <w:tcW w:type="dxa" w:w="1949"/>
            <w:vAlign w:val="center"/>
          </w:tcPr>
          <w:p>
            <w:pPr>
              <w:spacing w:after="40"/>
            </w:pPr>
            <w:r>
              <w:rPr>
                <w:rFonts w:ascii="Noto Sans" w:hAnsi="Noto Sans" w:eastAsia="Noto Sans TC" w:cs="Noto Sans"/>
                <w:sz w:val="17"/>
              </w:rPr>
              <w:t>Jeśli zostanie aktywowany w przyszłości, wdrożenie rozpocznie się od aktualizacji tej polityki oraz zgodności z obowiązującymi przepisami prawa dotyczącymi kontroli użytkowników</w:t>
            </w:r>
          </w:p>
        </w:tc>
      </w:tr>
      <w:tr>
        <w:trPr>
          <w:cantSplit/>
        </w:trPr>
        <w:tc>
          <w:tcPr>
            <w:tcW w:type="dxa" w:w="1949"/>
            <w:vAlign w:val="center"/>
          </w:tcPr>
          <w:p>
            <w:pPr>
              <w:spacing w:after="40"/>
            </w:pPr>
            <w:r>
              <w:rPr>
                <w:rFonts w:ascii="Noto Sans" w:hAnsi="Noto Sans" w:eastAsia="Noto Sans TC" w:cs="Noto Sans"/>
                <w:sz w:val="17"/>
              </w:rPr>
              <w:t>Reklama / Targetowanie</w:t>
            </w:r>
          </w:p>
        </w:tc>
        <w:tc>
          <w:tcPr>
            <w:tcW w:type="dxa" w:w="1949"/>
            <w:vAlign w:val="center"/>
          </w:tcPr>
          <w:p>
            <w:pPr>
              <w:spacing w:after="40"/>
            </w:pPr>
            <w:r>
              <w:rPr>
                <w:rFonts w:ascii="Noto Sans" w:hAnsi="Noto Sans" w:eastAsia="Noto Sans TC" w:cs="Noto Sans"/>
                <w:sz w:val="17"/>
              </w:rPr>
              <w:t>Profilowanie międzystronowe, reklama przekierowująca, reklama oparta na zainteresowaniach</w:t>
            </w:r>
          </w:p>
        </w:tc>
        <w:tc>
          <w:tcPr>
            <w:tcW w:type="dxa" w:w="1949"/>
            <w:vAlign w:val="center"/>
          </w:tcPr>
          <w:p>
            <w:pPr>
              <w:spacing w:after="40"/>
            </w:pPr>
            <w:r>
              <w:rPr>
                <w:rFonts w:ascii="Noto Sans" w:hAnsi="Noto Sans" w:eastAsia="Noto Sans TC" w:cs="Noto Sans"/>
                <w:sz w:val="17"/>
              </w:rPr>
              <w:t>Obecnie nieużywane</w:t>
            </w:r>
          </w:p>
        </w:tc>
        <w:tc>
          <w:tcPr>
            <w:tcW w:type="dxa" w:w="1949"/>
            <w:vAlign w:val="center"/>
          </w:tcPr>
          <w:p>
            <w:pPr>
              <w:spacing w:after="40"/>
            </w:pPr>
            <w:r>
              <w:rPr>
                <w:rFonts w:ascii="Noto Sans" w:hAnsi="Noto Sans" w:eastAsia="Noto Sans TC" w:cs="Noto Sans"/>
                <w:sz w:val="17"/>
              </w:rPr>
              <w:t>Niniejszy rozdział nie dotyczy</w:t>
            </w:r>
          </w:p>
        </w:tc>
        <w:tc>
          <w:tcPr>
            <w:tcW w:type="dxa" w:w="1949"/>
            <w:vAlign w:val="center"/>
          </w:tcPr>
          <w:p>
            <w:pPr>
              <w:spacing w:after="40"/>
            </w:pPr>
            <w:r>
              <w:rPr>
                <w:rFonts w:ascii="Noto Sans" w:hAnsi="Noto Sans" w:eastAsia="Noto Sans TC" w:cs="Noto Sans"/>
                <w:sz w:val="17"/>
              </w:rPr>
              <w:t>Obecnie nie są używane żadne takie pliki cookie</w:t>
            </w:r>
          </w:p>
        </w:tc>
      </w:tr>
      <w:tr>
        <w:trPr>
          <w:cantSplit/>
        </w:trPr>
        <w:tc>
          <w:tcPr>
            <w:tcW w:type="dxa" w:w="1949"/>
            <w:vAlign w:val="center"/>
          </w:tcPr>
          <w:p>
            <w:pPr>
              <w:spacing w:after="40"/>
            </w:pPr>
            <w:r>
              <w:rPr>
                <w:rFonts w:ascii="Noto Sans" w:hAnsi="Noto Sans" w:eastAsia="Noto Sans TC" w:cs="Noto Sans"/>
                <w:sz w:val="17"/>
              </w:rPr>
              <w:t>Media społecznościowe / Treści osadzone</w:t>
            </w:r>
          </w:p>
        </w:tc>
        <w:tc>
          <w:tcPr>
            <w:tcW w:type="dxa" w:w="1949"/>
            <w:vAlign w:val="center"/>
          </w:tcPr>
          <w:p>
            <w:pPr>
              <w:spacing w:after="40"/>
            </w:pPr>
            <w:r>
              <w:rPr>
                <w:rFonts w:ascii="Noto Sans" w:hAnsi="Noto Sans" w:eastAsia="Noto Sans TC" w:cs="Noto Sans"/>
                <w:sz w:val="17"/>
              </w:rPr>
              <w:t>Osadzone filmy, przyciski udostępniania w mediach społecznościowych i komponenty osób trzecich mogą wywoływać pliki cookie osób trzecich</w:t>
            </w:r>
          </w:p>
        </w:tc>
        <w:tc>
          <w:tcPr>
            <w:tcW w:type="dxa" w:w="1949"/>
            <w:vAlign w:val="center"/>
          </w:tcPr>
          <w:p>
            <w:pPr>
              <w:spacing w:after="40"/>
            </w:pPr>
            <w:r>
              <w:rPr>
                <w:rFonts w:ascii="Noto Sans" w:hAnsi="Noto Sans" w:eastAsia="Noto Sans TC" w:cs="Noto Sans"/>
                <w:sz w:val="17"/>
              </w:rPr>
              <w:t>Domyślnym preferencją są standardowe linki zewnętrzne; jeśli w przyszłości zostanie wprowadzone osadzanie, zostanie przeprowadzona osobna ocena</w:t>
            </w:r>
          </w:p>
        </w:tc>
        <w:tc>
          <w:tcPr>
            <w:tcW w:type="dxa" w:w="1949"/>
            <w:vAlign w:val="center"/>
          </w:tcPr>
          <w:p>
            <w:pPr>
              <w:spacing w:after="40"/>
            </w:pPr>
            <w:r>
              <w:rPr>
                <w:rFonts w:ascii="Noto Sans" w:hAnsi="Noto Sans" w:eastAsia="Noto Sans TC" w:cs="Noto Sans"/>
                <w:sz w:val="17"/>
              </w:rPr>
              <w:t>Zależy od usług osób trzecich i wymogów prawnych</w:t>
            </w:r>
          </w:p>
        </w:tc>
        <w:tc>
          <w:tcPr>
            <w:tcW w:type="dxa" w:w="1949"/>
            <w:vAlign w:val="center"/>
          </w:tcPr>
          <w:p>
            <w:pPr>
              <w:spacing w:after="40"/>
            </w:pPr>
            <w:r>
              <w:rPr>
                <w:rFonts w:ascii="Noto Sans" w:hAnsi="Noto Sans" w:eastAsia="Noto Sans TC" w:cs="Noto Sans"/>
                <w:sz w:val="17"/>
              </w:rPr>
              <w:t>Decyzje podejmowane są przez odpowiednie osoby trzecie, a tam, gdzie wymaga tego prawo, zostaną dostarczone odpowiednie powiadomienia lub zgody</w:t>
            </w:r>
          </w:p>
        </w:tc>
      </w:tr>
    </w:tbl>
    <w:p>
      <w:pPr>
        <w:spacing w:after="40"/>
      </w:pPr>
    </w:p>
    <w:p>
      <w:pPr>
        <w:pStyle w:val="Heading1"/>
        <w:keepLines w:val="0"/>
      </w:pPr>
      <w:r>
        <w:rPr>
          <w:rFonts w:ascii="Noto Sans" w:hAnsi="Noto Sans" w:eastAsia="Noto Sans TC" w:cs="Noto Sans"/>
          <w:b w:val="0"/>
        </w:rPr>
        <w:t>4. Wymagane ściśle i bezpieczne pliki cookie</w:t>
      </w:r>
    </w:p>
    <w:p>
      <w:pPr>
        <w:keepLines w:val="0"/>
      </w:pPr>
      <w:r>
        <w:rPr>
          <w:rFonts w:ascii="Noto Sans" w:hAnsi="Noto Sans" w:eastAsia="Noto Sans TC" w:cs="Noto Sans"/>
          <w:b w:val="0"/>
        </w:rPr>
        <w:t>Te pliki cookie/podobne technologie służą do zapewnienia podstawowych funkcjonalności, których aktywnie żądasz, lub do ochrony bezpieczeństwa witryny, konta i transakcji. Jeśli zostaną całkowicie zablokowane, kluczowe funkcje witryny mogą nie działać poprawnie. Typowe zastosowania obejmują:</w:t>
      </w:r>
    </w:p>
    <w:p>
      <w:pPr>
        <w:pStyle w:val="ListBullet"/>
        <w:keepLines w:val="0"/>
      </w:pPr>
      <w:r>
        <w:rPr>
          <w:rFonts w:ascii="Noto Sans" w:hAnsi="Noto Sans" w:eastAsia="Noto Sans TC" w:cs="Noto Sans"/>
          <w:b w:val="0"/>
        </w:rPr>
        <w:t>Identyfikacja sesji zalogowanych, umożliwiając logowanie się na oficjalną stronę internetową i DAWNBLOOM Community za pomocą konta gry DAWNBLOOM;</w:t>
      </w:r>
    </w:p>
    <w:p>
      <w:pPr>
        <w:pStyle w:val="ListBullet"/>
        <w:keepLines w:val="0"/>
      </w:pPr>
      <w:r>
        <w:rPr>
          <w:rFonts w:ascii="Noto Sans" w:hAnsi="Noto Sans" w:eastAsia="Noto Sans TC" w:cs="Noto Sans"/>
          <w:b w:val="0"/>
        </w:rPr>
        <w:t>Zapobieganie fałszowaniu żądań międzystronowych (CSRF), duplikatom wysyłania danych, automatycznym nadużyciom, próbom łamania haseł metodą brute-force i innym zagrożeniom bezpieczeństwa;</w:t>
      </w:r>
    </w:p>
    <w:p>
      <w:pPr>
        <w:pStyle w:val="ListBullet"/>
        <w:keepLines w:val="0"/>
      </w:pPr>
      <w:r>
        <w:rPr>
          <w:rFonts w:ascii="Noto Sans" w:hAnsi="Noto Sans" w:eastAsia="Noto Sans TC" w:cs="Noto Sans"/>
          <w:b w:val="0"/>
        </w:rPr>
        <w:t>Zanim transakcje sklepowe staną się dostępne, każdy nowy magazyn stanu zamówienia zostanie dodany do tej polityki i rzeczywistej listy; nie jest prezentowany jako obecnie używany.</w:t>
      </w:r>
    </w:p>
    <w:p>
      <w:pPr>
        <w:pStyle w:val="ListBullet"/>
        <w:keepLines w:val="0"/>
      </w:pPr>
      <w:r>
        <w:rPr>
          <w:rFonts w:ascii="Noto Sans" w:hAnsi="Noto Sans" w:eastAsia="Noto Sans TC" w:cs="Noto Sans"/>
          <w:b w:val="0"/>
        </w:rPr>
        <w:t>Utrzymywanie wymaganych stanów sesji na forach, w centrach kont i formularzach obsługi klienta;</w:t>
      </w:r>
    </w:p>
    <w:p>
      <w:pPr>
        <w:pStyle w:val="ListBullet"/>
        <w:keepLines w:val="0"/>
      </w:pPr>
      <w:r>
        <w:rPr>
          <w:rFonts w:ascii="Noto Sans" w:hAnsi="Noto Sans" w:eastAsia="Noto Sans TC" w:cs="Noto Sans"/>
          <w:b w:val="0"/>
        </w:rPr>
        <w:t>Rejestrowanie ukończenia podstawowych wyzwań bezpieczeństwa lub kroków weryfikacji ludzkiej w celu zmniejszenia liczby powtarzających się monitów o weryfikację.</w:t>
      </w:r>
    </w:p>
    <w:p>
      <w:pPr>
        <w:keepLines w:val="0"/>
      </w:pPr>
      <w:r>
        <w:rPr>
          <w:rFonts w:ascii="Noto Sans" w:hAnsi="Noto Sans" w:eastAsia="Noto Sans TC" w:cs="Noto Sans"/>
          <w:b w:val="0"/>
        </w:rPr>
        <w:t>DAWNBLOOM korzysta z Cloudflare do DNS/CDN i bezpieczeństwa strony internetowej. To, czy plik cookie bezpieczeństwa Cloudflare jest faktycznie ustawiony, zależy od wizyty i włączonej ochrony; sprawdź rekord przeglądarki dla tej wizyty.</w:t>
      </w:r>
    </w:p>
    <w:p>
      <w:pPr>
        <w:pStyle w:val="Heading1"/>
        <w:keepLines w:val="0"/>
      </w:pPr>
      <w:r>
        <w:rPr>
          <w:rFonts w:ascii="Noto Sans" w:hAnsi="Noto Sans" w:eastAsia="Noto Sans TC" w:cs="Noto Sans"/>
          <w:b w:val="0"/>
        </w:rPr>
        <w:t>5. Technologie językowe i preferencji</w:t>
      </w:r>
    </w:p>
    <w:p>
      <w:pPr>
        <w:keepLines w:val="0"/>
      </w:pPr>
      <w:r>
        <w:rPr>
          <w:rFonts w:ascii="Noto Sans" w:hAnsi="Noto Sans" w:eastAsia="Noto Sans TC" w:cs="Noto Sans"/>
          <w:b w:val="0"/>
        </w:rPr>
        <w:t>Strona internetowa DAWNBLOOM udostępnia 20 języków interfejsu. Po wybraniu języka strona korzysta z wpisu Local Storage pierwszej strony zg-locale, aby zapamiętać Twój wybór na przyszłą wizytę. Ten wpis nie jest używany do profilowania reklamowego.</w:t>
      </w:r>
    </w:p>
    <w:p>
      <w:pPr>
        <w:keepLines w:val="0"/>
      </w:pPr>
      <w:r>
        <w:rPr>
          <w:rFonts w:ascii="Noto Sans" w:hAnsi="Noto Sans" w:eastAsia="Noto Sans TC" w:cs="Noto Sans"/>
          <w:b w:val="0"/>
        </w:rPr>
        <w:t>Preferencja wyciszenia mini-gry jest zapisywana w Local Storage, podczas gdy pozycja muzyki jest zapisywana w Session Storage bieżącej karty. Wyczyszczenie tych elementów może zresetować preferencję lub pozycję.</w:t>
      </w:r>
    </w:p>
    <w:p>
      <w:pPr>
        <w:pStyle w:val="Heading1"/>
        <w:keepLines w:val="0"/>
      </w:pPr>
      <w:r>
        <w:rPr>
          <w:rFonts w:ascii="Noto Sans" w:hAnsi="Noto Sans" w:eastAsia="Noto Sans TC" w:cs="Noto Sans"/>
          <w:b w:val="0"/>
        </w:rPr>
        <w:t>6. Czego obecnie nie robimy</w:t>
      </w:r>
    </w:p>
    <w:p>
      <w:pPr>
        <w:pStyle w:val="ListBullet"/>
        <w:keepLines w:val="0"/>
      </w:pPr>
      <w:r>
        <w:rPr>
          <w:rFonts w:ascii="Noto Sans" w:hAnsi="Noto Sans" w:eastAsia="Noto Sans TC" w:cs="Noto Sans"/>
          <w:b w:val="0"/>
        </w:rPr>
        <w:t>Nie serwujemy reklam behawioralnych stron trzecich na oficjalnej stronie internetowej ani w grze;</w:t>
      </w:r>
    </w:p>
    <w:p>
      <w:pPr>
        <w:pStyle w:val="ListBullet"/>
        <w:keepLines w:val="0"/>
      </w:pPr>
      <w:r>
        <w:rPr>
          <w:rFonts w:ascii="Noto Sans" w:hAnsi="Noto Sans" w:eastAsia="Noto Sans TC" w:cs="Noto Sans"/>
          <w:b w:val="0"/>
        </w:rPr>
        <w:t>Nie korzystamy z narzędzi analitycznych marketingu stron trzecich, takich jak Meta Pixel czy Google Analytics;</w:t>
      </w:r>
    </w:p>
    <w:p>
      <w:pPr>
        <w:pStyle w:val="ListBullet"/>
        <w:keepLines w:val="0"/>
      </w:pPr>
      <w:r>
        <w:rPr>
          <w:rFonts w:ascii="Noto Sans" w:hAnsi="Noto Sans" w:eastAsia="Noto Sans TC" w:cs="Noto Sans"/>
          <w:b w:val="0"/>
        </w:rPr>
        <w:t>Nie używamy plików cookie do budowania profili reklamowych międzystronowych;</w:t>
      </w:r>
    </w:p>
    <w:p>
      <w:pPr>
        <w:pStyle w:val="ListBullet"/>
        <w:keepLines w:val="0"/>
      </w:pPr>
      <w:r>
        <w:rPr>
          <w:rFonts w:ascii="Noto Sans" w:hAnsi="Noto Sans" w:eastAsia="Noto Sans TC" w:cs="Noto Sans"/>
          <w:b w:val="0"/>
        </w:rPr>
        <w:t>Nie sprzedajemy identyfikatorów plików cookie ani danych osobowych z nich wywodzących się;</w:t>
      </w:r>
    </w:p>
    <w:p>
      <w:pPr>
        <w:pStyle w:val="ListBullet"/>
        <w:keepLines w:val="0"/>
      </w:pPr>
      <w:r>
        <w:rPr>
          <w:rFonts w:ascii="Noto Sans" w:hAnsi="Noto Sans" w:eastAsia="Noto Sans TC" w:cs="Noto Sans"/>
          <w:b w:val="0"/>
        </w:rPr>
        <w:t>Informacje osobiste nie będą udostępniane w celu behawioralnego reklamowania międzykontekstowego;</w:t>
      </w:r>
    </w:p>
    <w:p>
      <w:pPr>
        <w:pStyle w:val="ListBullet"/>
        <w:keepLines w:val="0"/>
      </w:pPr>
      <w:r>
        <w:rPr>
          <w:rFonts w:ascii="Noto Sans" w:hAnsi="Noto Sans" w:eastAsia="Noto Sans TC" w:cs="Noto Sans"/>
          <w:b w:val="0"/>
        </w:rPr>
        <w:t>Żadna usługa świadczona na podstawie lub w związku z Cookie nie zostanie odmówiona użytkownikowi za odmowę przyszłych, nieistotnych plików cookie, pod warunkiem, że taka usługa nie ma związku z danym plikiem cookie.</w:t>
      </w:r>
    </w:p>
    <w:p>
      <w:pPr>
        <w:keepLines w:val="0"/>
      </w:pPr>
      <w:r>
        <w:rPr>
          <w:rFonts w:ascii="Noto Sans" w:hAnsi="Noto Sans" w:eastAsia="Noto Sans TC" w:cs="Noto Sans"/>
          <w:b w:val="0"/>
        </w:rPr>
        <w:t>Jeśli przyszłe wymagania produktowe ulegną zmianie i planujemy dodać funkcje takie jak analityka, reklamy, testy A/B, SDK marketingu stron trzecich lub inne technologie śledzenia nieistotne, przeprowadzimy nową ocenę zgodności przed włączeniem takich funkcji, zaktualizujemy niniejszą Politykę oraz Politykę Prywatności odpowiednio, a także zapewnimy wyraźny mechanizm zgody (opt-in), rezygnacji (opt-out) lub wycofania zgody, zgodnie z wymogami prawa.</w:t>
      </w:r>
    </w:p>
    <w:p>
      <w:pPr>
        <w:pStyle w:val="Heading1"/>
        <w:keepLines w:val="0"/>
      </w:pPr>
      <w:r>
        <w:rPr>
          <w:rFonts w:ascii="Noto Sans" w:hAnsi="Noto Sans" w:eastAsia="Noto Sans TC" w:cs="Noto Sans"/>
          <w:b w:val="0"/>
        </w:rPr>
        <w:t>7. Logowanie przez strony trzecie, płatności i strony zewnętrzne</w:t>
      </w:r>
    </w:p>
    <w:p>
      <w:pPr>
        <w:keepLines w:val="0"/>
      </w:pPr>
      <w:r>
        <w:rPr>
          <w:rFonts w:ascii="Noto Sans" w:hAnsi="Noto Sans" w:eastAsia="Noto Sans TC" w:cs="Noto Sans"/>
          <w:b w:val="0"/>
        </w:rPr>
        <w:t>Gdy wybierzesz opcje logowania stron trzecich, takie jak Apple, Steam lub WeChat, lub użyjesz metod płatności, takich jak WeChat Pay, Alipay, UnionPay, Visa, Mastercard, Apple Pay lub innych systemów płatności stron trzecich, możesz zostać przekierowany na strony stron trzecich lub interakcja z komponentami kontrolowanymi przez strony trzecie. Takie strony trzecie mogą korzystać z plików cookie, informacji o urządzeniu lub innych technologii, zgodnie z ich własnymi zasadami, do przeprowadzania uwierzytelniania, weryfikacji bezpieczeństwa i przetwarzania płatności.</w:t>
      </w:r>
    </w:p>
    <w:p>
      <w:pPr>
        <w:keepLines w:val="0"/>
      </w:pPr>
      <w:r>
        <w:rPr>
          <w:rFonts w:ascii="Noto Sans" w:hAnsi="Noto Sans" w:eastAsia="Noto Sans TC" w:cs="Noto Sans"/>
          <w:b w:val="0"/>
        </w:rPr>
        <w:t>Po kliknięciu oficjalnego linku do Apple App Store, Google Play, Steam lub innego zidentyfikowanego sklepu, ten sklep może korzystać z plików cookie zgodnie z własną polityką. Strony trzecie odwiedzone w Przeglądarce i dostawcy połączeni z Poczta również kontrolują swoje własne dane witryny.</w:t>
      </w:r>
    </w:p>
    <w:p>
      <w:pPr>
        <w:keepLines w:val="0"/>
      </w:pPr>
      <w:r>
        <w:rPr>
          <w:rFonts w:ascii="Noto Sans" w:hAnsi="Noto Sans" w:eastAsia="Noto Sans TC" w:cs="Noto Sans"/>
          <w:b w:val="0"/>
        </w:rPr>
        <w:t>Nie będziemy twierdzić, że ciasteczka jakiejkolwiek strony trzeciej stanowią ciasteczka pierwszej strony (first-party cookies) DAWNBLOOM, ani nie będziemy kontrolować żadnych działań przetwarzania danych podejmowanych przez takie strony trzecie w ramach ich niezależnych usług. Prosimy o zapoznanie się z Polityką Prywatności oraz Oświadczeniem dotyczącym Ciasteczek/Technologii Śledzenia odpowiedniego dostawcy usługi w celu uzyskania szczegółów dotyczących takiego przetwarzania.</w:t>
      </w:r>
    </w:p>
    <w:p>
      <w:pPr>
        <w:pStyle w:val="Heading1"/>
        <w:keepLines w:val="0"/>
      </w:pPr>
      <w:r>
        <w:rPr>
          <w:rFonts w:ascii="Noto Sans" w:hAnsi="Noto Sans" w:eastAsia="Noto Sans TC" w:cs="Noto Sans"/>
          <w:b w:val="0"/>
        </w:rPr>
        <w:t>8. Twoje preferencje dotyczące plików cookie</w:t>
      </w:r>
    </w:p>
    <w:p>
      <w:pPr>
        <w:keepLines w:val="0"/>
      </w:pPr>
      <w:r>
        <w:rPr>
          <w:rFonts w:ascii="Noto Sans" w:hAnsi="Noto Sans" w:eastAsia="Noto Sans TC" w:cs="Noto Sans"/>
          <w:b w:val="0"/>
        </w:rPr>
        <w:t>Możesz przeglądać, usuwać, blokować lub ograniczać pliki Cookie za pomocą ustawień swojej przeglądarki. Szczegółowe informacje i terminologia mogą się różnić w zależności od przeglądarki i należy je potwierdzić zgodnie z własną dokumentacją pomocy przeglądarki.</w:t>
      </w:r>
    </w:p>
    <w:p>
      <w:pPr>
        <w:pStyle w:val="ListBullet"/>
        <w:keepLines w:val="0"/>
      </w:pPr>
      <w:r>
        <w:rPr>
          <w:rFonts w:ascii="Noto Sans" w:hAnsi="Noto Sans" w:eastAsia="Noto Sans TC" w:cs="Noto Sans"/>
          <w:b w:val="0"/>
        </w:rPr>
        <w:t>Usunięcie plików Cookie logowania może spowodować natychmiastowe wylogowanie się z konta;</w:t>
      </w:r>
    </w:p>
    <w:p>
      <w:pPr>
        <w:pStyle w:val="ListBullet"/>
        <w:keepLines w:val="0"/>
      </w:pPr>
      <w:r>
        <w:rPr>
          <w:rFonts w:ascii="Noto Sans" w:hAnsi="Noto Sans" w:eastAsia="Noto Sans TC" w:cs="Noto Sans"/>
          <w:b w:val="0"/>
        </w:rPr>
        <w:t>Wyłączenie ściśle niezbędnych plików Cookie może skutkować niepowodzeniem logowania, niemożnością normalnego publikowania treści, zakłóceniami przepływu transakcji lub powtarzającymi się wyzwaniami bezpieczeństwa;</w:t>
      </w:r>
    </w:p>
    <w:p>
      <w:pPr>
        <w:pStyle w:val="ListBullet"/>
        <w:keepLines w:val="0"/>
      </w:pPr>
      <w:r>
        <w:rPr>
          <w:rFonts w:ascii="Noto Sans" w:hAnsi="Noto Sans" w:eastAsia="Noto Sans TC" w:cs="Noto Sans"/>
          <w:b w:val="0"/>
        </w:rPr>
        <w:t>Usunięcie preferencji językowych może spowodować powrót oficjalnej strony internetowej do jej domyślnego języka;</w:t>
      </w:r>
    </w:p>
    <w:p>
      <w:pPr>
        <w:pStyle w:val="ListBullet"/>
        <w:keepLines w:val="0"/>
      </w:pPr>
      <w:r>
        <w:rPr>
          <w:rFonts w:ascii="Noto Sans" w:hAnsi="Noto Sans" w:eastAsia="Noto Sans TC" w:cs="Noto Sans"/>
          <w:b w:val="0"/>
        </w:rPr>
        <w:t>Tryb „prywatny” lub „incognito” przeglądarki zazwyczaj czyści pewne przechowywane dane po zakończeniu sesji, choć dokładne zachowanie jest określane przez samą przeglądarkę.</w:t>
      </w:r>
    </w:p>
    <w:p>
      <w:pPr>
        <w:keepLines w:val="0"/>
      </w:pPr>
      <w:r>
        <w:rPr>
          <w:rFonts w:ascii="Noto Sans" w:hAnsi="Noto Sans" w:eastAsia="Noto Sans TC" w:cs="Noto Sans"/>
          <w:b w:val="0"/>
        </w:rPr>
        <w:t>Jeśli w przyszłości włączymy nieobowiązkowe pliki Cookie wymagające wcześniejszej zgody, użytkownicy będą mogli dokonywać wyborów za pośrednictwem interfejsu Ustawienia Cookie w odpowiednich scenariuszach, a następnie wycofać te wybory. Jednak wycofanie zgody nie wpłynie na żadne wcześniejsze przetwarzanie przeprowadzone na podstawie ważnych podstaw prawnych.</w:t>
      </w:r>
    </w:p>
    <w:p>
      <w:pPr>
        <w:pStyle w:val="Heading1"/>
        <w:keepLines w:val="0"/>
      </w:pPr>
      <w:r>
        <w:rPr>
          <w:rFonts w:ascii="Noto Sans" w:hAnsi="Noto Sans" w:eastAsia="Noto Sans TC" w:cs="Noto Sans"/>
          <w:b w:val="0"/>
        </w:rPr>
        <w:t>9. Wyjaśnienie dotyczące regionu Chin kontynentalnych</w:t>
      </w:r>
    </w:p>
    <w:p>
      <w:pPr>
        <w:keepLines w:val="0"/>
      </w:pPr>
      <w:r>
        <w:rPr>
          <w:rFonts w:ascii="Noto Sans" w:hAnsi="Noto Sans" w:eastAsia="Noto Sans TC" w:cs="Noto Sans"/>
          <w:b w:val="0"/>
        </w:rPr>
        <w:t>W przypadku użytkowników z Chin kontynentalnych będziemy przetwarzać informacje wygenerowane za pomocą plików Cookie lub podobnych technologii, które można powiązać z zidentyfikowanymi lub identyfikowalnymi osobami fizycznymi, zgodnie z przepisami takimi jak Ustawa o ochronie informacji osobowych Chińskiej Republiki Ludowej i Rozporządzenie o zarządzaniu bezpieczeństwem danych sieciowych. Przestrzegamy zasad legalności, uczciwości, konieczności, integralności, jasnego celu i minimalnego wymogu danych oraz publicznie ujawniamy cele, metody, typy i zasady przechowywania takiej obróbki.</w:t>
      </w:r>
    </w:p>
    <w:p>
      <w:pPr>
        <w:keepLines w:val="0"/>
      </w:pPr>
      <w:r>
        <w:rPr>
          <w:rFonts w:ascii="Noto Sans" w:hAnsi="Noto Sans" w:eastAsia="Noto Sans TC" w:cs="Noto Sans"/>
          <w:b w:val="0"/>
        </w:rPr>
        <w:t>W celach technicznych niezbędnych do wypełnienia Twojej relacji z naszymi usługami, takich jak logowanie, bezpieczeństwo konta i przetwarzanie zamówień, możemy przetwarzać pliki Cookie lub podobne technologie na podstawie zobowiązań umownych lub obowiązków prawnych dozwolonych przez obowiązujące prawo; jeśli plik Cookie lub podobna technologia wymaga Twojej wcześniejszej zgody zgodnie z obowiązującym prawem, uzyskamy taką zgodę po pełnym poinformowaniu i również zapewnimy mechanizm pozwalający na wycofanie tej zgody.</w:t>
      </w:r>
    </w:p>
    <w:p>
      <w:pPr>
        <w:keepLines w:val="0"/>
      </w:pPr>
      <w:r>
        <w:rPr>
          <w:rFonts w:ascii="Noto Sans" w:hAnsi="Noto Sans" w:eastAsia="Noto Sans TC" w:cs="Noto Sans"/>
          <w:b w:val="0"/>
        </w:rPr>
        <w:t>Jeśli w przyszłości przekażemy jakieś identyfikatory plików cookie lub dane behawioralne stronie trzeciej w celach takich jak niezależna identyfikacja, profilowanie lub inne, przed wdrożeniem ponownie ocenimy wymogi dotyczące wcześniejszego powiadomienia, osobnej zgody, zlecenia przetwarzania i transferów transgranicznych oraz nie będziemy polegać wyłącznie na ogólnej autoryzacji zawartej w niniejszych Warunkach.</w:t>
      </w:r>
    </w:p>
    <w:p>
      <w:pPr>
        <w:pStyle w:val="Heading1"/>
        <w:keepLines w:val="0"/>
      </w:pPr>
      <w:r>
        <w:rPr>
          <w:rFonts w:ascii="Noto Sans" w:hAnsi="Noto Sans" w:eastAsia="Noto Sans TC" w:cs="Noto Sans"/>
          <w:b w:val="0"/>
        </w:rPr>
        <w:t>10. Wyjaśnienie dotyczące regionu Stanów Zjednoczonych</w:t>
      </w:r>
    </w:p>
    <w:p>
      <w:pPr>
        <w:keepLines w:val="0"/>
      </w:pPr>
      <w:r>
        <w:rPr>
          <w:rFonts w:ascii="Noto Sans" w:hAnsi="Noto Sans" w:eastAsia="Noto Sans TC" w:cs="Noto Sans"/>
          <w:b w:val="0"/>
        </w:rPr>
        <w:t>Amerykański system prywatności jest wspólnie kształtowany przez prawo federalne i stanowe. Jeśli DAWNBLOOM osiągnie progi stosowalności kalifornijskiego CCPA/CPRA lub innych ustaw o ochronie prywatności w przyszłości, zapewniamy zgodnie z prawem dostęp, poprawianie, usuwanie i prawo do wycofania zgody, jak tego wymagają przepisy.</w:t>
      </w:r>
    </w:p>
    <w:p>
      <w:pPr>
        <w:keepLines w:val="0"/>
      </w:pPr>
      <w:r>
        <w:rPr>
          <w:rFonts w:ascii="Noto Sans" w:hAnsi="Noto Sans" w:eastAsia="Noto Sans TC" w:cs="Noto Sans"/>
          <w:b w:val="0"/>
        </w:rPr>
        <w:t>Zgodnie z obecnym projektem produktu DAWNBLOOM nie sprzedaje danych osobowych ani nie udostępnia ich w celach reklamowych między kontekstami. W związku z tym nie ma obecnie żadnych działań „sprzedaży lub udostępniania” opartych na plikach cookie reklamowych. Jeśli przyszłe praktyki się zmienią, zaktualizujemy tę politykę i, gdy będzie to właściwe, udostępnimy wpis „Twoje wybory dotyczące prywatności / Nie sprzedawaj ani nie udostępniaj” oraz uznamy prawnie ważne sygnały wycofania zgody (np. Global Privacy Control, gdy ma zastosowanie).</w:t>
      </w:r>
    </w:p>
    <w:p>
      <w:pPr>
        <w:pStyle w:val="Heading1"/>
        <w:keepLines w:val="0"/>
      </w:pPr>
      <w:r>
        <w:rPr>
          <w:rFonts w:ascii="Noto Sans" w:hAnsi="Noto Sans" w:eastAsia="Noto Sans TC" w:cs="Noto Sans"/>
          <w:b w:val="0"/>
        </w:rPr>
        <w:t>11. Przepisy specyficzne dla Japonii</w:t>
      </w:r>
    </w:p>
    <w:p>
      <w:pPr>
        <w:keepLines w:val="0"/>
      </w:pPr>
      <w:r>
        <w:rPr>
          <w:rFonts w:ascii="Noto Sans" w:hAnsi="Noto Sans" w:eastAsia="Noto Sans TC" w:cs="Noto Sans"/>
          <w:b w:val="0"/>
        </w:rPr>
        <w:t>Zgodnie z Ustawą o ochronie informacji osobowych (personal information) Japonii (APPI), identyfikatory urządzeń, takie jak pliki cookie, mogą w pewnych okolicznościach podlegać jako informacje odnoszące się do osób fizycznych. Gdy można je łatwo połączyć z innymi informacjami w celu zidentyfikowania konkretnej osoby, mogą być również traktowane jako informacje osobowe (personal information).</w:t>
      </w:r>
    </w:p>
    <w:p>
      <w:pPr>
        <w:keepLines w:val="0"/>
      </w:pPr>
      <w:r>
        <w:rPr>
          <w:rFonts w:ascii="Noto Sans" w:hAnsi="Noto Sans" w:eastAsia="Noto Sans TC" w:cs="Noto Sans"/>
          <w:b w:val="0"/>
        </w:rPr>
        <w:t>Obecnie nie dostarczamy identyfikatorów plików cookie partnerom reklamowym w celu połączenia ich z danymi osobowymi, które posiadają, w celu tworzenia profili reklamowych. Jeśli w przyszłości przekażemy informacje odnoszące się do osób fizycznych stronom trzecim i oczekujemy, że odbiorca zdobędzie je jako dane osobowe, potwierdzimy wymaganą zgodę zainteresowanej osoby oraz powiązane warunki zgodnie z zasadami Japońskiej Komisji Ochrony Danych Osobowych. W przypadku udziału zagranicznej strony trzeciej ocenimy również odpowiednie wymagania transgraniczne.</w:t>
      </w:r>
    </w:p>
    <w:p>
      <w:pPr>
        <w:pStyle w:val="Heading1"/>
        <w:keepLines w:val="0"/>
      </w:pPr>
      <w:r>
        <w:rPr>
          <w:rFonts w:ascii="Noto Sans" w:hAnsi="Noto Sans" w:eastAsia="Noto Sans TC" w:cs="Noto Sans"/>
          <w:b w:val="0"/>
        </w:rPr>
        <w:t>12. Użytkownicy poniżej 18. roku życia</w:t>
      </w:r>
    </w:p>
    <w:p>
      <w:pPr>
        <w:keepLines w:val="0"/>
      </w:pPr>
      <w:r>
        <w:rPr>
          <w:rFonts w:ascii="Noto Sans" w:hAnsi="Noto Sans" w:eastAsia="Noto Sans TC" w:cs="Noto Sans"/>
          <w:b w:val="0"/>
        </w:rPr>
        <w:t>DAWNBLOOM konta w grze, społeczność graczy oraz powiązane usługi wymagają, aby użytkownicy mieli 18 lub więcej lat. Strony publiczne i DAWNBLOOM Browser nie stosują tego uniwersznego ograniczenia wiekowego dla gier. Nie wykorzystujemy plików cookie ani podobnych technologii do tworzenia profili marketingowych osób niepełnoletnich; inne działania dotyczące osób niepełnoletnich są oceniane zgodnie z ujednoliconą Polityką Prywatności i obowiązującym prawem.</w:t>
      </w:r>
    </w:p>
    <w:p>
      <w:pPr>
        <w:pStyle w:val="Heading1"/>
        <w:keepLines w:val="0"/>
      </w:pPr>
      <w:r>
        <w:rPr>
          <w:rFonts w:ascii="Noto Sans" w:hAnsi="Noto Sans" w:eastAsia="Noto Sans TC" w:cs="Noto Sans"/>
          <w:b w:val="0"/>
        </w:rPr>
        <w:t>13. Lista plików cookie i mechanizm aktualizacji</w:t>
      </w:r>
    </w:p>
    <w:p>
      <w:pPr>
        <w:keepLines w:val="0"/>
      </w:pPr>
      <w:r>
        <w:rPr>
          <w:rFonts w:ascii="Noto Sans" w:hAnsi="Noto Sans" w:eastAsia="Noto Sans TC" w:cs="Noto Sans"/>
          <w:b w:val="0"/>
        </w:rPr>
        <w:t>Poniższa lista obejmuje pamięć przeglądarki pierwszej strony zidentyfikowaną w bieżącej witrynie i kodzie usługi konta. Rzeczywiste elementy różnią się w zależności od strony i sesji. Usługi bezpieczeństwa/CDN mogą ustawiać dodatkowe niezbędne pliki cookie zgodnie z wizytą; sprawdź zapis przeglądarki dla tej wizyty. Pamięć dla niedostępnych transakcji sklepu nie jest wymieniona, ponieważ obecnie nie jest używana.</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Nazwa i metoda</w:t>
            </w:r>
          </w:p>
        </w:tc>
        <w:tc>
          <w:tcPr>
            <w:tcW w:type="dxa" w:w="2436"/>
            <w:vAlign w:val="center"/>
            <w:shd w:fill="DCE8F7"/>
          </w:tcPr>
          <w:p>
            <w:pPr>
              <w:keepNext/>
              <w:spacing w:after="40"/>
            </w:pPr>
            <w:r>
              <w:rPr>
                <w:rFonts w:ascii="Noto Sans" w:hAnsi="Noto Sans" w:eastAsia="Noto Sans TC" w:cs="Noto Sans"/>
                <w:b/>
                <w:sz w:val="17"/>
              </w:rPr>
              <w:t>Dostawca i kontekst</w:t>
            </w:r>
          </w:p>
        </w:tc>
        <w:tc>
          <w:tcPr>
            <w:tcW w:type="dxa" w:w="2436"/>
            <w:vAlign w:val="center"/>
            <w:shd w:fill="DCE8F7"/>
          </w:tcPr>
          <w:p>
            <w:pPr>
              <w:keepNext/>
              <w:spacing w:after="40"/>
            </w:pPr>
            <w:r>
              <w:rPr>
                <w:rFonts w:ascii="Noto Sans" w:hAnsi="Noto Sans" w:eastAsia="Noto Sans TC" w:cs="Noto Sans"/>
                <w:b/>
                <w:sz w:val="17"/>
              </w:rPr>
              <w:t>Cel i kategoria</w:t>
            </w:r>
          </w:p>
        </w:tc>
        <w:tc>
          <w:tcPr>
            <w:tcW w:type="dxa" w:w="2436"/>
            <w:vAlign w:val="center"/>
            <w:shd w:fill="DCE8F7"/>
          </w:tcPr>
          <w:p>
            <w:pPr>
              <w:keepNext/>
              <w:spacing w:after="40"/>
            </w:pPr>
            <w:r>
              <w:rPr>
                <w:rFonts w:ascii="Noto Sans" w:hAnsi="Noto Sans" w:eastAsia="Noto Sans TC" w:cs="Noto Sans"/>
                <w:b/>
                <w:sz w:val="17"/>
              </w:rPr>
              <w:t>Zatrzymanie w przeglądarce</w:t>
            </w:r>
          </w:p>
        </w:tc>
      </w:tr>
      <w:tr>
        <w:trPr>
          <w:cantSplit/>
        </w:trPr>
        <w:tc>
          <w:tcPr>
            <w:tcW w:type="dxa" w:w="2436"/>
            <w:vAlign w:val="center"/>
          </w:tcPr>
          <w:p>
            <w:pPr>
              <w:spacing w:after="40"/>
            </w:pPr>
            <w:r>
              <w:rPr>
                <w:rFonts w:ascii="Noto Sans" w:hAnsi="Noto Sans" w:eastAsia="Noto Sans TC" w:cs="Noto Sans"/>
                <w:sz w:val="17"/>
              </w:rPr>
              <w:t>zg-locale · Przechowywanie lokalne</w:t>
            </w:r>
          </w:p>
        </w:tc>
        <w:tc>
          <w:tcPr>
            <w:tcW w:type="dxa" w:w="2436"/>
            <w:vAlign w:val="center"/>
          </w:tcPr>
          <w:p>
            <w:pPr>
              <w:spacing w:after="40"/>
            </w:pPr>
            <w:r>
              <w:rPr>
                <w:rFonts w:ascii="Noto Sans" w:hAnsi="Noto Sans" w:eastAsia="Noto Sans TC" w:cs="Noto Sans"/>
                <w:sz w:val="17"/>
              </w:rPr>
              <w:t>Witryna DAWNBLOOM · Wybór języka/strona główna</w:t>
            </w:r>
          </w:p>
        </w:tc>
        <w:tc>
          <w:tcPr>
            <w:tcW w:type="dxa" w:w="2436"/>
            <w:vAlign w:val="center"/>
          </w:tcPr>
          <w:p>
            <w:pPr>
              <w:spacing w:after="40"/>
            </w:pPr>
            <w:r>
              <w:rPr>
                <w:rFonts w:ascii="Noto Sans" w:hAnsi="Noto Sans" w:eastAsia="Noto Sans TC" w:cs="Noto Sans"/>
                <w:sz w:val="17"/>
              </w:rPr>
              <w:t>Pamiętaj język witryny; preferencja funkcjonalna</w:t>
            </w:r>
          </w:p>
        </w:tc>
        <w:tc>
          <w:tcPr>
            <w:tcW w:type="dxa" w:w="2436"/>
            <w:vAlign w:val="center"/>
          </w:tcPr>
          <w:p>
            <w:pPr>
              <w:spacing w:after="40"/>
            </w:pPr>
            <w:r>
              <w:rPr>
                <w:rFonts w:ascii="Noto Sans" w:hAnsi="Noto Sans" w:eastAsia="Noto Sans TC" w:cs="Noto Sans"/>
                <w:sz w:val="17"/>
              </w:rPr>
              <w:t>Dopóki użytkownik go nie usunie lub kod witryny się nie zmieni</w:t>
            </w:r>
          </w:p>
        </w:tc>
      </w:tr>
      <w:tr>
        <w:trPr>
          <w:cantSplit/>
        </w:trPr>
        <w:tc>
          <w:tcPr>
            <w:tcW w:type="dxa" w:w="2436"/>
            <w:vAlign w:val="center"/>
          </w:tcPr>
          <w:p>
            <w:pPr>
              <w:spacing w:after="40"/>
            </w:pPr>
            <w:r>
              <w:rPr>
                <w:rFonts w:ascii="Noto Sans" w:hAnsi="Noto Sans" w:eastAsia="Noto Sans TC" w:cs="Noto Sans"/>
                <w:sz w:val="17"/>
              </w:rPr>
              <w:t>zg-community-csrf · Przechowywanie sesji</w:t>
            </w:r>
          </w:p>
        </w:tc>
        <w:tc>
          <w:tcPr>
            <w:tcW w:type="dxa" w:w="2436"/>
            <w:vAlign w:val="center"/>
          </w:tcPr>
          <w:p>
            <w:pPr>
              <w:spacing w:after="40"/>
            </w:pPr>
            <w:r>
              <w:rPr>
                <w:rFonts w:ascii="Noto Sans" w:hAnsi="Noto Sans" w:eastAsia="Noto Sans TC" w:cs="Noto Sans"/>
                <w:sz w:val="17"/>
              </w:rPr>
              <w:t>DAWNBLOOM Community/odzyskiwanie konta</w:t>
            </w:r>
          </w:p>
        </w:tc>
        <w:tc>
          <w:tcPr>
            <w:tcW w:type="dxa" w:w="2436"/>
            <w:vAlign w:val="center"/>
          </w:tcPr>
          <w:p>
            <w:pPr>
              <w:spacing w:after="40"/>
            </w:pPr>
            <w:r>
              <w:rPr>
                <w:rFonts w:ascii="Noto Sans" w:hAnsi="Noto Sans" w:eastAsia="Noto Sans TC" w:cs="Noto Sans"/>
                <w:sz w:val="17"/>
              </w:rPr>
              <w:t>Przechowuj identyfikator żądania antyfałszerstwa w sesji; niezbędne bezpieczeństwo</w:t>
            </w:r>
          </w:p>
        </w:tc>
        <w:tc>
          <w:tcPr>
            <w:tcW w:type="dxa" w:w="2436"/>
            <w:vAlign w:val="center"/>
          </w:tcPr>
          <w:p>
            <w:pPr>
              <w:spacing w:after="40"/>
            </w:pPr>
            <w:r>
              <w:rPr>
                <w:rFonts w:ascii="Noto Sans" w:hAnsi="Noto Sans" w:eastAsia="Noto Sans TC" w:cs="Noto Sans"/>
                <w:sz w:val="17"/>
              </w:rPr>
              <w:t>Dopóki nie zakończy się bieżąca sesja karty przeglądarki</w:t>
            </w:r>
          </w:p>
        </w:tc>
      </w:tr>
      <w:tr>
        <w:trPr>
          <w:cantSplit/>
        </w:trPr>
        <w:tc>
          <w:tcPr>
            <w:tcW w:type="dxa" w:w="2436"/>
            <w:vAlign w:val="center"/>
          </w:tcPr>
          <w:p>
            <w:pPr>
              <w:spacing w:after="40"/>
            </w:pPr>
            <w:r>
              <w:rPr>
                <w:rFonts w:ascii="Noto Sans" w:hAnsi="Noto Sans" w:eastAsia="Noto Sans TC" w:cs="Noto Sans"/>
                <w:sz w:val="17"/>
              </w:rPr>
              <w:t>dawnbloom_web_session / clw_community_session · Plik cookie</w:t>
            </w:r>
          </w:p>
        </w:tc>
        <w:tc>
          <w:tcPr>
            <w:tcW w:type="dxa" w:w="2436"/>
            <w:vAlign w:val="center"/>
          </w:tcPr>
          <w:p>
            <w:pPr>
              <w:spacing w:after="40"/>
            </w:pPr>
            <w:r>
              <w:rPr>
                <w:rFonts w:ascii="Noto Sans" w:hAnsi="Noto Sans" w:eastAsia="Noto Sans TC" w:cs="Noto Sans"/>
                <w:sz w:val="17"/>
              </w:rPr>
              <w:t>Usługa konta DAWNBLOOM · po jednorazowym logowaniu</w:t>
            </w:r>
          </w:p>
        </w:tc>
        <w:tc>
          <w:tcPr>
            <w:tcW w:type="dxa" w:w="2436"/>
            <w:vAlign w:val="center"/>
          </w:tcPr>
          <w:p>
            <w:pPr>
              <w:spacing w:after="40"/>
            </w:pPr>
            <w:r>
              <w:rPr>
                <w:rFonts w:ascii="Noto Sans" w:hAnsi="Noto Sans" w:eastAsia="Noto Sans TC" w:cs="Noto Sans"/>
                <w:sz w:val="17"/>
              </w:rPr>
              <w:t>Utrzymaj logowanie do konta i społeczności; niezbędna funkcja i bezpieczeństwo. Bezpieczne, HttpOnly, SameSite=Strict</w:t>
            </w:r>
          </w:p>
        </w:tc>
        <w:tc>
          <w:tcPr>
            <w:tcW w:type="dxa" w:w="2436"/>
            <w:vAlign w:val="center"/>
          </w:tcPr>
          <w:p>
            <w:pPr>
              <w:spacing w:after="40"/>
            </w:pPr>
            <w:r>
              <w:rPr>
                <w:rFonts w:ascii="Noto Sans" w:hAnsi="Noto Sans" w:eastAsia="Noto Sans TC" w:cs="Noto Sans"/>
                <w:sz w:val="17"/>
              </w:rPr>
              <w:t>Pliki cookie sesji przeglądarki; sesje po stronie serwera mają własny termin ważności</w:t>
            </w:r>
          </w:p>
        </w:tc>
      </w:tr>
      <w:tr>
        <w:trPr>
          <w:cantSplit/>
        </w:trPr>
        <w:tc>
          <w:tcPr>
            <w:tcW w:type="dxa" w:w="2436"/>
            <w:vAlign w:val="center"/>
          </w:tcPr>
          <w:p>
            <w:pPr>
              <w:spacing w:after="40"/>
            </w:pPr>
            <w:r>
              <w:rPr>
                <w:rFonts w:ascii="Noto Sans" w:hAnsi="Noto Sans" w:eastAsia="Noto Sans TC" w:cs="Noto Sans"/>
                <w:sz w:val="17"/>
              </w:rPr>
              <w:t>dawnbloom-minigame-muted · Przechowywanie lokalne</w:t>
            </w:r>
          </w:p>
        </w:tc>
        <w:tc>
          <w:tcPr>
            <w:tcW w:type="dxa" w:w="2436"/>
            <w:vAlign w:val="center"/>
          </w:tcPr>
          <w:p>
            <w:pPr>
              <w:spacing w:after="40"/>
            </w:pPr>
            <w:r>
              <w:rPr>
                <w:rFonts w:ascii="Noto Sans" w:hAnsi="Noto Sans" w:eastAsia="Noto Sans TC" w:cs="Noto Sans"/>
                <w:sz w:val="17"/>
              </w:rPr>
              <w:t>Mini-gry DAWNBLOOM</w:t>
            </w:r>
          </w:p>
        </w:tc>
        <w:tc>
          <w:tcPr>
            <w:tcW w:type="dxa" w:w="2436"/>
            <w:vAlign w:val="center"/>
          </w:tcPr>
          <w:p>
            <w:pPr>
              <w:spacing w:after="40"/>
            </w:pPr>
            <w:r>
              <w:rPr>
                <w:rFonts w:ascii="Noto Sans" w:hAnsi="Noto Sans" w:eastAsia="Noto Sans TC" w:cs="Noto Sans"/>
                <w:sz w:val="17"/>
              </w:rPr>
              <w:t>Zapamiętaj preferencję wyciszenia; funkcjonalne</w:t>
            </w:r>
          </w:p>
        </w:tc>
        <w:tc>
          <w:tcPr>
            <w:tcW w:type="dxa" w:w="2436"/>
            <w:vAlign w:val="center"/>
          </w:tcPr>
          <w:p>
            <w:pPr>
              <w:spacing w:after="40"/>
            </w:pPr>
            <w:r>
              <w:rPr>
                <w:rFonts w:ascii="Noto Sans" w:hAnsi="Noto Sans" w:eastAsia="Noto Sans TC" w:cs="Noto Sans"/>
                <w:sz w:val="17"/>
              </w:rPr>
              <w:t>Dopóki użytkownik go nie usunie lub kod witryny się nie zmieni</w:t>
            </w:r>
          </w:p>
        </w:tc>
      </w:tr>
      <w:tr>
        <w:trPr>
          <w:cantSplit/>
        </w:trPr>
        <w:tc>
          <w:tcPr>
            <w:tcW w:type="dxa" w:w="2436"/>
            <w:vAlign w:val="center"/>
          </w:tcPr>
          <w:p>
            <w:pPr>
              <w:spacing w:after="40"/>
            </w:pPr>
            <w:r>
              <w:rPr>
                <w:rFonts w:ascii="Noto Sans" w:hAnsi="Noto Sans" w:eastAsia="Noto Sans TC" w:cs="Noto Sans"/>
                <w:sz w:val="17"/>
              </w:rPr>
              <w:t>Położenie muzyki w mini-grze · Przechowywanie sesji</w:t>
            </w:r>
          </w:p>
        </w:tc>
        <w:tc>
          <w:tcPr>
            <w:tcW w:type="dxa" w:w="2436"/>
            <w:vAlign w:val="center"/>
          </w:tcPr>
          <w:p>
            <w:pPr>
              <w:spacing w:after="40"/>
            </w:pPr>
            <w:r>
              <w:rPr>
                <w:rFonts w:ascii="Noto Sans" w:hAnsi="Noto Sans" w:eastAsia="Noto Sans TC" w:cs="Noto Sans"/>
                <w:sz w:val="17"/>
              </w:rPr>
              <w:t>Mini-gry DAWNBLOOM</w:t>
            </w:r>
          </w:p>
        </w:tc>
        <w:tc>
          <w:tcPr>
            <w:tcW w:type="dxa" w:w="2436"/>
            <w:vAlign w:val="center"/>
          </w:tcPr>
          <w:p>
            <w:pPr>
              <w:spacing w:after="40"/>
            </w:pPr>
            <w:r>
              <w:rPr>
                <w:rFonts w:ascii="Noto Sans" w:hAnsi="Noto Sans" w:eastAsia="Noto Sans TC" w:cs="Noto Sans"/>
                <w:sz w:val="17"/>
              </w:rPr>
              <w:t>Kontynuuj muzykę w tej samej karcie; funkcjonalne</w:t>
            </w:r>
          </w:p>
        </w:tc>
        <w:tc>
          <w:tcPr>
            <w:tcW w:type="dxa" w:w="2436"/>
            <w:vAlign w:val="center"/>
          </w:tcPr>
          <w:p>
            <w:pPr>
              <w:spacing w:after="40"/>
            </w:pPr>
            <w:r>
              <w:rPr>
                <w:rFonts w:ascii="Noto Sans" w:hAnsi="Noto Sans" w:eastAsia="Noto Sans TC" w:cs="Noto Sans"/>
                <w:sz w:val="17"/>
              </w:rPr>
              <w:t>Dopóki nie zakończy się bieżąca sesja karty przeglądarki</w:t>
            </w:r>
          </w:p>
        </w:tc>
      </w:tr>
    </w:tbl>
    <w:p>
      <w:pPr>
        <w:spacing w:after="40"/>
      </w:pPr>
    </w:p>
    <w:p>
      <w:pPr>
        <w:keepLines w:val="0"/>
      </w:pPr>
      <w:r>
        <w:rPr>
          <w:rFonts w:ascii="Noto Sans" w:hAnsi="Noto Sans" w:eastAsia="Noto Sans TC" w:cs="Noto Sans"/>
          <w:b w:val="0"/>
        </w:rPr>
        <w:t>Ciasteczka bezpieczeństwa Cloudflare i ich czas trwania zależą od rzeczywistej konfiguracji bezpieczeństwa i wizyty; kod źródłowy nie może ustalić, że pojawiają się przy każdej wizycie. Każda nowa nieistotna technologia analityczna lub reklamowa wymaga najpierw aktualizacji tej listy i odpowiednich wyborów.</w:t>
      </w:r>
    </w:p>
    <w:p>
      <w:pPr>
        <w:pStyle w:val="Heading1"/>
        <w:keepLines w:val="0"/>
      </w:pPr>
      <w:r>
        <w:rPr>
          <w:rFonts w:ascii="Noto Sans" w:hAnsi="Noto Sans" w:eastAsia="Noto Sans TC" w:cs="Noto Sans"/>
          <w:b w:val="0"/>
        </w:rPr>
        <w:t>14. Skontaktuj się z nami</w:t>
      </w:r>
    </w:p>
    <w:p>
      <w:pPr>
        <w:keepLines w:val="0"/>
      </w:pPr>
      <w:r>
        <w:rPr>
          <w:rFonts w:ascii="Noto Sans" w:hAnsi="Noto Sans" w:eastAsia="Noto Sans TC" w:cs="Noto Sans"/>
          <w:b w:val="0"/>
        </w:rPr>
        <w:t>Jeśli masz pytania dotyczące ciasteczek, podobnych technologii lub preferencji prywatności, możesz skontaktować się z nami za pośrednictwem następujących kanałów:</w:t>
      </w:r>
    </w:p>
    <w:p>
      <w:pPr>
        <w:keepLines w:val="0"/>
      </w:pPr>
      <w:r>
        <w:rPr>
          <w:rFonts w:ascii="Noto Sans" w:hAnsi="Noto Sans" w:eastAsia="Noto Sans TC" w:cs="Noto Sans"/>
          <w:b w:val="0"/>
        </w:rPr>
        <w:t xml:space="preserve">Prawne, dotyczące praw autorskich i prywatności: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Ogólne wsparcie graczy: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Oficjalna strona internetowa: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Operator / dostawca usług strony internetowej: Shanghai Zhuiguang Zhichuang Culture Media Co., Ltd. (Publiczna nazwa angielska: SHANGHAI LUMIREALM CREATIVE MEDIA CO., LTD.)</w:t>
      </w:r>
    </w:p>
    <w:p>
      <w:pPr>
        <w:keepLines w:val="0"/>
      </w:pPr>
      <w:r>
        <w:rPr>
          <w:rFonts w:ascii="Noto Sans" w:hAnsi="Noto Sans" w:eastAsia="Noto Sans TC" w:cs="Noto Sans"/>
          <w:b w:val="0"/>
        </w:rPr>
        <w:t>Adres operacyjny / oficjalny adres kontaktowy: Pokój 218, Budynek 3, Nr 336 Tianjiao Road, Specjalna Strefa Wolnego Handlu Lin-gang, Chińska Republika Ludowa (Chiny) (Pilot Free Trade Zone of the China (Shanghai))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dotycząca plików cookie i podobnych technologii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