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Warunki korzystania z DAWNBLOOM AI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Wersja: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zmiany: 10 października 2026 r.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wejścia w życie: 10 października 2026 r.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Podmiot świadczący usługę: 上海追光智创文化传媒有限公司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1. Podmiot świadczący usługę, nazwy i zakres stosowania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Usługę świadczy 上海追光智创文化传媒有限公司. DAWNBLOOM AI jest marką systemu inteligentnej interakcji i usług technologicznych naszej spółki, a DAWNBLOOM Fairy jest inteligentnym towarzyszem i postacią służącą do interakcji z użytkownikami w ramach tego samego systemu usług. DAWNBLOOM AI 2.0 oznacza publiczną wersję tego systemu usług inteligentnych i nie oznacza, że nasza spółka samodzielnie wytrenowała bazowy duży model językowy. Niniejsze warunki stosuje się łącznie z Warunkami świadczenia usług DAWNBLOOM, Polityką prywatności, Kodeksem gracza i innymi właściwymi politykami; regulują one wyłącznie kwestie szczególne dotyczące usług inteligentnych i nie ograniczają praw ustawowych.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2. Zakres usług i ograniczenia językowe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Usługi ograniczają się do odpowiedzi na pytania dotyczące publicznie dostępnej wiedzy o grze i produktach, komunikacji tekstowej w języku naturalnym, wskazywania graczom sposobów skorzystania z obsługi oraz faktycznie udostępnionych funkcji interfejsu Intelligent UI; obsługa języków na oficjalnej stronie nie rozszerza zakresu języków klienta gry ani zakresu języków żadnego z sześciu odrębnych programów. Obecnie nie są oferowane generowanie ani edycja obrazów, tworzenie plików PDF, dokumentów Word, prezentacji slajdów i arkuszy kalkulacyjnych ani ogólna automatyzacja pracy biurowej. Wersja na oficjalnej stronie obejmuje 20 języków tej strony; wersja w grze nadal ogranicza się do czterech języków: chińskiego, angielskiego, japońskiego i koreańskiego. Obsługa danego języka nie oznacza zapewnienia w nim obsługi klienta przez człowieka ani profesjonalnych porad prawnych.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3. Wiedza publiczna i informacje chronione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Odpowiedzi na pytania ograniczają się do materiałów dotyczących gry, produktów i obsługi klienta, których publikacja została autoryzowana. Nieudostępnione publicznie informacje o fabule, zadaniach, mapach, prawdopodobieństwach, wzorach, wewnętrznych planach projektowych, informacje GM, środki bezpieczeństwa oraz materiały dotyczące wykorzystywania luk nie są dostępne dla użytkowników. Zabrania się wykorzystywania pytań i odpowiedzi do pozyskiwania chronionych materiałów.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4. Intelligent UI i potwierdzenie użytkownika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Intelligent UI łączy odpowiedzi z interaktywnymi kartami informacyjnymi, punktami dostępu do funkcji i interfejsami potwierdzenia. Informacje o fantastycznych stworzeniach, wyposażeniu, przedmiotach, osobistych zapisach gry i bezpieczeństwie konta są udostępniane wyłącznie w zakresie, w którym dana funkcja została uruchomiona, użytkownik udzielił zgodnego z prawem upoważnienia, a system zaplecza potwierdził jego tożsamość i odpowiednie uprawnienia. Pojawienie się odpowiedzi AI, karty lub przycisku nie oznacza wykonania operacji; operacje wrażliwe wymagają formalnej weryfikacji i niezbędnych potwierdzeń, a ich wykonanie ocenia się na podstawie wyniku systemowego. Zabrania się omijania systemu uprawnień w celu modyfikowania danych graczy lub odczytywania niepublicznych informacji innych osób. Wyraźnie oznaczone dane demonstracyjne nie są zapisami dotyczącymi użytkownika i nie potwierdzają powodzenia rzeczywistego zapytania ani operacji.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5. Dokładność odpowiedzi i weryfikacja istotnych informacji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Odpowiedzi AI mogą zawierać błędy w zrozumieniu, pominięcia lub nieaktualne informacje i nie zastępują oficjalnych komunikatów, zasad gry, warunków dotyczących produktów i zwrotów, zapisów zweryfikowanych na podstawie upoważnienia ani wyników ponownej weryfikacji przez człowieka. Użytkownicy powinni samodzielnie weryfikować istotne informacje; błędy lub odwołania można zgłaszać na adres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. Sugestie AI same w sobie nie zmieniają istniejących praw użytkowników ani ustawowych środków ochrony prawnej. AI nie wydaje ostatecznych rozstrzygnięć w sprawach prawnych, medycznych, finansowych ani innych sprawach wymagających wiedzy zawodowej.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6. Prawa i odpowiedzialność dotyczące danych wejściowych i wyników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Użytkownik musi być uprawniony do przekazania treści wejściowych i nie może przekazywać informacji naruszających prawa innych osób ani niezgodnych z prawem. Użytkownik odpowiada za zgodność z prawem korzystania z wyników i ich rozpowszechniania oraz za niezbędną weryfikację. Wygenerowanie odpowiedzi przez naszą spółkę nie stanowi przyznania praw do utworów, znaków towarowych ani danych osobowych osób trzecich; niniejsze warunki nie wyłączają praw użytkowników do wyników istniejących na mocy prawa ani innych praw ustawowych.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7. Bezpieczne korzystanie i zakaz nadużyć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Zabrania się ataków, masowego pozyskiwania danych w złej wierze, podszywania się pod inne osoby, omijania kodów weryfikacyjnych lub uprawnień, przesyłania złośliwych instrukcji, kradzieży niepublicznych treści i tworzenia fałszywych oficjalnych zobowiązań. Nie należy przekazywać haseł, pełnych jednorazowych kodów weryfikacyjnych, haseł płatniczych, tokenów ani innych zbędnych informacji wrażliwych.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8. Dane konta i operacje w grze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Osobiste fantastyczne stworzenia, wyposażenie, przedmioty, aktywa i zapisy można przeglądać wyłącznie w zakresie zgodnego z prawem upoważnienia udzielonego przez danego użytkownika i weryfikacji po stronie systemu zaplecza. AI nie uzyskuje uprawnień GM i nie zmienia bezpośrednio aktywów, kar ani oficjalnych zasad rozgrywki; przywracanie, spory i odwołania podlegają weryfikacji w ramach formalnych procedur.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9. Osoby małoletnie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Do kont i usług gry nadal stosuje się istniejący wymóg ukończenia 18 lat; usługi AI nie powodują jego złagodzenia. Dostęp do materiałów publicznych nie oznacza zezwolenia na rejestrację ani korzystanie z konta gry. W przypadku informacji dotyczących osób małoletnich przestrzega się właściwych wymogów ochrony; rozmowa z AI nie zastępuje wymaganej prawem zgody opiekuna ani weryfikacji.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10. Modele podmiotów trzecich i przetwarzanie danych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Integracja techniczna wykorzystuje możliwości modelu Qwen udostępniane przez Alibaba Cloud Model Studio; połączenie z modelem korzysta z punktu końcowego w regionie Tokio w Japonii. Region, w którym znajduje się punkt końcowy, nie oznacza, że wszystkie dane użytkowników są przetwarzane wyłącznie w Japonii, i nie zastępuje weryfikacji rzeczywistych umów o świadczenie usług, logów dostawcy, mechanizmów kontroli wykorzystania do trenowania, ustawień przechowywania ani obowiązków związanych z transgranicznym przekazywaniem danych. OpenAI Codex uczestniczy w budowie systemu wiedzy, rozwoju funkcji, projektowaniu interakcji i ciągłym doskonaleniu; nie uzyskuje z tego powodu automatycznie danych z rozmów użytkowników, ani nie oznacza to, że wytrenował bazowy model Qwen. Konkretne zasady dotyczące danych wejściowych, kontekstu, logów usług, przechowywania i kontroli wykorzystania do trenowania określają aktualna Polityka prywatności DAWNBLOOM, właściwe szczegółowe informacje przekazywane użytkownikowi i rzeczywiste umowy o świadczenie usług. Informacja o prywatności dotycząca wyłącznie AI jest nadal weryfikowana; niniejsze warunki nie zastępują potwierdzenia faktów dotyczących przetwarzania danych. Odpowiednie modele ani przetwarzanie danych osobowych nie zostaną udostępnione przed przekazaniem niezbędnych informacji, uzyskaniem upoważnień i przeprowadzeniem weryfikacji bezpieczeństwa.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11. Dostępność, nieprawidłowości i zmiany usług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Rzeczywisty zakres funkcji zależy od udostępnionych punktów dostępu i oficjalnego stanu usług. Konserwacja, awarie, incydenty bezpieczeństwa, ograniczenia przepustowości lub nieprawidłowości po stronie dostawców mogą ograniczać część usług; podejmujemy działania w niezbędnym zakresie i informujemy o istotnych zmianach odpowiednimi kanałami. Wstrzymanie żądań do modelu nie oznacza usunięcia konta, a istniejące uprawnienia wynikające z zakupów i ustawowe środki ochrony prawnej nie wygasają automatycznie wskutek ograniczenia funkcji AI.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12. Postępowanie w przypadku naruszeń, odwołania i korekta błędów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W zależności od rzeczywistego ryzyka można ograniczyć częstotliwość żądań, zawiesić odpowiednie funkcje inteligentne lub zastosować środki przewidziane w Kodeksie gracza, zapewniając formalny kanał odwoławczy. Użytkownik może zwrócić się o korektę, przesyłając konkretną odpowiedź, czas zadania pytania i niezbędne materiały do weryfikacji; należy zasłonić niezwiązane ze sprawą dane osobowe. Odpowiedź AI sama w sobie nie stanowi rozstrzygnięcia o nałożeniu kary.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13. Zaprzestanie korzystania i prawa dotyczące danych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Użytkownik może zakończyć rozmowę, wycofać zgodę, którą można wycofać zgodnie z prawem, usunąć lokalną historię rozmów oraz zgłosić na adres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"/>
          <w:b w:val="0"/>
        </w:rPr>
        <w:t xml:space="preserve"> lub przez oficjalną obsługę klienta żądanie dostępu do informacji, sprostowania, usunięcia lub ograniczenia przetwarzania danych, a także skargę. Usunięcie lokalnej historii nie powoduje automatycznego usunięcia logów usług, zgłoszeń obsługowych ani zapisów podmiotów trzecich przechowywanych zgodnie z prawem; dalsze przetwarzanie odbywa się stosownie do rzeczywistej kategorii danych, obowiązków prawnych, wymogów bezpieczeństwa i potrzeb związanych z nierozstrzygniętymi sporami, bez uszczerbku dla istniejących praw. Zaprzestanie korzystania nie powoduje utraty skuteczności istniejących skarg, wniosków o zwrot, żądań dotyczących prywatności ani ustawowych środków ochrony prawnej.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14. Aktualizacje, skargi i kontakt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O istotnych zmianach warunków lub przetwarzania informuje się zgodnie z właściwym prawem i przeprowadza niezbędne procedury; zmiany nie ograniczają z mocą wsteczną już nabytych praw ustawowych. Sprawy prawne i prawa dotyczące danych: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"/>
          <w:b w:val="0"/>
        </w:rPr>
        <w:t xml:space="preserve">; obsługa klienta i korekta błędów: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; incydenty bezpieczeństwa: </w:t>
      </w:r>
      <w:hyperlink r:id="rId13">
        <w:r>
          <w:rPr>
            <w:rFonts w:ascii="Noto Sans" w:hAnsi="Noto Sans" w:eastAsia="Noto Sans TC"/>
            <w:b w:val="0"/>
          </w:rPr>
          <w:t xml:space="preserve">security@dawnbloom.net</w:t>
        </w:r>
      </w:hyperlink>
      <w:r>
        <w:rPr>
          <w:rFonts w:ascii="Noto Sans" w:hAnsi="Noto Sans" w:eastAsia="Noto Sans TC" w:cs="Noto Sans"/>
          <w:b w:val="0"/>
        </w:rPr>
        <w:t xml:space="preserve">. Prawny adres kontaktowy pozostaje zgodny z oficjalnymi informacjami prawnymi.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mailto:legal@dawnbloom.net" TargetMode="External"/><Relationship Id="rId13" Type="http://schemas.openxmlformats.org/officeDocument/2006/relationships/hyperlink" Target="mailto:security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korzystania z DAWNBLOOM AI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