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Noto Sans" w:hAnsi="Noto Sans" w:eastAsia="Arial Unicode MS" w:cs="Noto Sans"/>
          <w:b/>
          <w:color w:val="142032"/>
          <w:sz w:val="40"/>
        </w:rPr>
        <w:t>Verkoop- en terugbetalingsvoorwaarden DAWNBLOOM</w:t>
      </w:r>
    </w:p>
    <w:p>
      <w:pPr>
        <w:keepLines w:val="0"/>
      </w:pPr>
      <w:r>
        <w:rPr>
          <w:rFonts w:ascii="Noto Sans" w:hAnsi="Noto Sans" w:eastAsia="Arial Unicode MS" w:cs="Noto Sans"/>
          <w:b w:val="0"/>
        </w:rPr>
        <w:t>Verkoop- en restitutievoorwaarden · Officiële versie</w:t>
      </w:r>
    </w:p>
    <w:p>
      <w:pPr>
        <w:keepLines w:val="0"/>
      </w:pPr>
      <w:r>
        <w:rPr>
          <w:rFonts w:ascii="Noto Sans" w:hAnsi="Noto Sans" w:eastAsia="Arial Unicode MS" w:cs="Noto Sans"/>
          <w:b w:val="0"/>
        </w:rPr>
        <w:t>Versie: V8</w:t>
      </w:r>
    </w:p>
    <w:p>
      <w:pPr>
        <w:keepLines w:val="0"/>
      </w:pPr>
      <w:r>
        <w:rPr>
          <w:rFonts w:ascii="Noto Sans" w:hAnsi="Noto Sans" w:eastAsia="Arial Unicode MS" w:cs="Noto Sans"/>
          <w:b w:val="0"/>
        </w:rPr>
        <w:t>Wijzigingsdatum: 10 oktober 2026</w:t>
      </w:r>
    </w:p>
    <w:p>
      <w:pPr>
        <w:keepLines w:val="0"/>
      </w:pPr>
      <w:r>
        <w:rPr>
          <w:rFonts w:ascii="Noto Sans" w:hAnsi="Noto Sans" w:eastAsia="Arial Unicode MS" w:cs="Noto Sans"/>
          <w:b w:val="0"/>
        </w:rPr>
        <w:t>Ingangsdatum: 10 oktober 2026</w:t>
      </w:r>
    </w:p>
    <w:p>
      <w:pPr>
        <w:keepLines w:val="0"/>
      </w:pPr>
      <w:r>
        <w:rPr>
          <w:rFonts w:ascii="Noto Sans" w:hAnsi="Noto Sans" w:eastAsia="Arial Unicode MS" w:cs="Noto Sans"/>
          <w:b w:val="0"/>
        </w:rPr>
        <w:t>Toepassingsgebied: de webwinkel op de officiële DAWNBLOOM-website en bijbehorende officiële verkoopkanalen; bestellingen via platforms van derden worden afgestemd op de regels van het betreffende platform. Betaalfuncties op de officiële website zijn afhankelijk van de daadwerkelijke beschikbaarheid.</w:t>
      </w:r>
    </w:p>
    <w:p>
      <w:pPr>
        <w:pStyle w:val="Heading1"/>
        <w:keepLines w:val="0"/>
      </w:pPr>
      <w:r>
        <w:rPr>
          <w:rFonts w:ascii="Noto Sans" w:hAnsi="Noto Sans" w:eastAsia="Arial Unicode MS" w:cs="Noto Sans"/>
          <w:b w:val="0"/>
        </w:rPr>
        <w:t>Verhouding tussen gepubliceerde informatie en documenten</w:t>
      </w:r>
    </w:p>
    <w:p>
      <w:pPr>
        <w:keepLines w:val="0"/>
      </w:pPr>
      <w:r>
        <w:rPr>
          <w:rFonts w:ascii="Noto Sans" w:hAnsi="Noto Sans" w:eastAsia="Arial Unicode MS" w:cs="Noto Sans"/>
          <w:b w:val="0"/>
        </w:rPr>
        <w:t>Verkoper/Operator: Shanghai Zhui Guang Zhi Chuang Culture Media Co., Ltd. (Engelse publieke naam: SHANGHAI LUMIREALM CREATIVE MEDIA CO., LTD.)</w:t>
      </w:r>
    </w:p>
    <w:p>
      <w:pPr>
        <w:keepLines w:val="0"/>
      </w:pPr>
      <w:r>
        <w:rPr>
          <w:rFonts w:ascii="Noto Sans" w:hAnsi="Noto Sans" w:eastAsia="Arial Unicode MS" w:cs="Noto Sans"/>
          <w:b w:val="0"/>
        </w:rPr>
        <w:t xml:space="preserve">Officiële website: </w:t>
      </w:r>
      <w:hyperlink r:id="rId11">
        <w:r>
          <w:rPr>
            <w:rFonts w:ascii="Noto Sans" w:hAnsi="Noto Sans" w:eastAsia="Arial Unicode MS"/>
            <w:b w:val="0"/>
          </w:rPr>
          <w:t xml:space="preserve">https://dawnbloom.net</w:t>
        </w:r>
      </w:hyperlink>
    </w:p>
    <w:p>
      <w:pPr>
        <w:keepLines w:val="0"/>
      </w:pPr>
      <w:r>
        <w:rPr>
          <w:rFonts w:ascii="Noto Sans" w:hAnsi="Noto Sans" w:eastAsia="Arial Unicode MS" w:cs="Noto Sans"/>
          <w:b w:val="0"/>
        </w:rPr>
        <w:t xml:space="preserve">Klantenservice voor terugbetaling en bestellingen: </w:t>
      </w:r>
      <w:hyperlink r:id="rId12">
        <w:r>
          <w:rPr>
            <w:rFonts w:ascii="Noto Sans" w:hAnsi="Noto Sans" w:eastAsia="Arial Unicode MS"/>
            <w:b w:val="0"/>
          </w:rPr>
          <w:t xml:space="preserve">support@dawnbloom.net</w:t>
        </w:r>
      </w:hyperlink>
    </w:p>
    <w:p>
      <w:pPr>
        <w:keepLines w:val="0"/>
      </w:pPr>
      <w:r>
        <w:rPr>
          <w:rFonts w:ascii="Noto Sans" w:hAnsi="Noto Sans" w:eastAsia="Arial Unicode MS" w:cs="Noto Sans"/>
          <w:b w:val="0"/>
        </w:rPr>
        <w:t>Deze voorwaarden werken samen met de website en de Voorwaarden van DAWNBLOOM Community, Privacybeleid, Spelersregels en de specifieke productpagina. Productinhoud, kansen, levering, promoties en beperkingen worden beheerst door de informatie die duidelijk bij aankoop wordt getoond. Verplichte consumentenrechten blijven onaangetast.</w:t>
      </w:r>
    </w:p>
    <w:tbl>
      <w:tblPr>
        <w:tblStyle w:val="TableGrid"/>
        <w:tblW w:type="auto" w:w="0"/>
        <w:tblLayout w:type="autofit"/>
        <w:tblLook w:firstColumn="1" w:firstRow="1" w:lastColumn="0" w:lastRow="0" w:noHBand="0" w:noVBand="1" w:val="04A0"/>
      </w:tblPr>
      <w:tblGrid>
        <w:gridCol w:w="4873"/>
        <w:gridCol w:w="4873"/>
      </w:tblGrid>
      <w:tr>
        <w:trPr>
          <w:cantSplit/>
          <w:tblHeader/>
        </w:trPr>
        <w:tc>
          <w:tcPr>
            <w:tcW w:type="dxa" w:w="4873"/>
            <w:vAlign w:val="center"/>
            <w:shd w:fill="DCE8F7"/>
          </w:tcPr>
          <w:p>
            <w:pPr>
              <w:keepNext/>
              <w:spacing w:after="40"/>
            </w:pPr>
            <w:r>
              <w:rPr>
                <w:rFonts w:ascii="Noto Sans" w:hAnsi="Noto Sans" w:eastAsia="Arial Unicode MS" w:cs="Noto Sans"/>
                <w:b/>
                <w:sz w:val="17"/>
              </w:rPr>
              <w:t>Gids voor aankoop en terugbetaling</w:t>
            </w:r>
          </w:p>
        </w:tc>
        <w:tc>
          <w:tcPr>
            <w:tcW w:type="dxa" w:w="4873"/>
            <w:vAlign w:val="center"/>
            <w:shd w:fill="DCE8F7"/>
          </w:tcPr>
          <w:p>
            <w:pPr>
              <w:keepNext/>
              <w:spacing w:after="40"/>
            </w:pPr>
            <w:r>
              <w:rPr>
                <w:rFonts w:ascii="Noto Sans" w:hAnsi="Noto Sans" w:eastAsia="Arial Unicode MS" w:cs="Noto Sans"/>
                <w:b/>
                <w:sz w:val="17"/>
              </w:rPr>
              <w:t>Regel</w:t>
            </w:r>
          </w:p>
        </w:tc>
      </w:tr>
      <w:tr>
        <w:trPr>
          <w:cantSplit/>
        </w:trPr>
        <w:tc>
          <w:tcPr>
            <w:tcW w:type="dxa" w:w="4873"/>
            <w:vAlign w:val="center"/>
          </w:tcPr>
          <w:p>
            <w:pPr>
              <w:spacing w:after="40"/>
            </w:pPr>
            <w:r>
              <w:rPr>
                <w:rFonts w:ascii="Noto Sans" w:hAnsi="Noto Sans" w:eastAsia="Arial Unicode MS" w:cs="Noto Sans"/>
                <w:sz w:val="17"/>
              </w:rPr>
              <w:t>Websiteproducten</w:t>
            </w:r>
          </w:p>
        </w:tc>
        <w:tc>
          <w:tcPr>
            <w:tcW w:type="dxa" w:w="4873"/>
            <w:vAlign w:val="center"/>
          </w:tcPr>
          <w:p>
            <w:pPr>
              <w:spacing w:after="40"/>
            </w:pPr>
            <w:r>
              <w:rPr>
                <w:rFonts w:ascii="Noto Sans" w:hAnsi="Noto Sans" w:eastAsia="Arial Unicode MS" w:cs="Noto Sans"/>
                <w:sz w:val="17"/>
              </w:rPr>
              <w:t>Basis CNY; dagelijkse conversie USD/JPY en een vergrendelde productprijs bij bevestiging.</w:t>
            </w:r>
          </w:p>
        </w:tc>
      </w:tr>
      <w:tr>
        <w:trPr>
          <w:cantSplit/>
        </w:trPr>
        <w:tc>
          <w:tcPr>
            <w:tcW w:type="dxa" w:w="4873"/>
            <w:vAlign w:val="center"/>
          </w:tcPr>
          <w:p>
            <w:pPr>
              <w:spacing w:after="40"/>
            </w:pPr>
            <w:r>
              <w:rPr>
                <w:rFonts w:ascii="Noto Sans" w:hAnsi="Noto Sans" w:eastAsia="Arial Unicode MS" w:cs="Noto Sans"/>
                <w:sz w:val="17"/>
              </w:rPr>
              <w:t>Website-terugbetaling</w:t>
            </w:r>
          </w:p>
        </w:tc>
        <w:tc>
          <w:tcPr>
            <w:tcW w:type="dxa" w:w="4873"/>
            <w:vAlign w:val="center"/>
          </w:tcPr>
          <w:p>
            <w:pPr>
              <w:spacing w:after="40"/>
            </w:pPr>
            <w:r>
              <w:rPr>
                <w:rFonts w:ascii="Noto Sans" w:hAnsi="Noto Sans" w:eastAsia="Arial Unicode MS" w:cs="Noto Sans"/>
                <w:sz w:val="17"/>
              </w:rPr>
              <w:t>Originele route, valuta en werkelijk betaald bedrag; geen herprijsing van wisselkoersen op de dag van terugbetaling.</w:t>
            </w:r>
          </w:p>
        </w:tc>
      </w:tr>
      <w:tr>
        <w:trPr>
          <w:cantSplit/>
        </w:trPr>
        <w:tc>
          <w:tcPr>
            <w:tcW w:type="dxa" w:w="4873"/>
            <w:vAlign w:val="center"/>
          </w:tcPr>
          <w:p>
            <w:pPr>
              <w:spacing w:after="40"/>
            </w:pPr>
            <w:r>
              <w:rPr>
                <w:rFonts w:ascii="Noto Sans" w:hAnsi="Noto Sans" w:eastAsia="Arial Unicode MS" w:cs="Noto Sans"/>
                <w:sz w:val="17"/>
              </w:rPr>
              <w:t>Platforms van derden</w:t>
            </w:r>
          </w:p>
        </w:tc>
        <w:tc>
          <w:tcPr>
            <w:tcW w:type="dxa" w:w="4873"/>
            <w:vAlign w:val="center"/>
          </w:tcPr>
          <w:p>
            <w:pPr>
              <w:spacing w:after="40"/>
            </w:pPr>
            <w:r>
              <w:rPr>
                <w:rFonts w:ascii="Noto Sans" w:hAnsi="Noto Sans" w:eastAsia="Arial Unicode MS" w:cs="Noto Sans"/>
                <w:sz w:val="17"/>
              </w:rPr>
              <w:t>Hun betalings- en terugbetalingsregels en toepasselijke wetgeving zijn leidend.</w:t>
            </w:r>
          </w:p>
        </w:tc>
      </w:tr>
      <w:tr>
        <w:trPr>
          <w:cantSplit/>
        </w:trPr>
        <w:tc>
          <w:tcPr>
            <w:tcW w:type="dxa" w:w="4873"/>
            <w:vAlign w:val="center"/>
          </w:tcPr>
          <w:p>
            <w:pPr>
              <w:spacing w:after="40"/>
            </w:pPr>
            <w:r>
              <w:rPr>
                <w:rFonts w:ascii="Noto Sans" w:hAnsi="Noto Sans" w:eastAsia="Arial Unicode MS" w:cs="Noto Sans"/>
                <w:sz w:val="17"/>
              </w:rPr>
              <w:t>Minderjarigen</w:t>
            </w:r>
          </w:p>
        </w:tc>
        <w:tc>
          <w:tcPr>
            <w:tcW w:type="dxa" w:w="4873"/>
            <w:vAlign w:val="center"/>
          </w:tcPr>
          <w:p>
            <w:pPr>
              <w:spacing w:after="40"/>
            </w:pPr>
            <w:r>
              <w:rPr>
                <w:rFonts w:ascii="Noto Sans" w:hAnsi="Noto Sans" w:eastAsia="Arial Unicode MS" w:cs="Noto Sans"/>
                <w:sz w:val="17"/>
              </w:rPr>
              <w:t>Na een geverifieerde en voltooide volledige of grotendeels volledige terugbetaling, wordt alleen het gerelateerde spelaccount permanent beperkt; menselijke correctie is beschikbaar.</w:t>
            </w:r>
          </w:p>
        </w:tc>
      </w:tr>
    </w:tbl>
    <w:p>
      <w:pPr>
        <w:spacing w:after="40"/>
      </w:pPr>
    </w:p>
    <w:p>
      <w:pPr>
        <w:pStyle w:val="Heading1"/>
        <w:keepLines w:val="0"/>
      </w:pPr>
      <w:r>
        <w:rPr>
          <w:rFonts w:ascii="Noto Sans" w:hAnsi="Noto Sans" w:eastAsia="Arial Unicode MS" w:cs="Noto Sans"/>
          <w:b w:val="0"/>
        </w:rPr>
        <w:t>Korte samenvatting van terugbetalingen</w:t>
      </w:r>
    </w:p>
    <w:p>
      <w:pPr>
        <w:pStyle w:val="ListBullet"/>
        <w:keepLines w:val="0"/>
      </w:pPr>
      <w:r>
        <w:rPr>
          <w:rFonts w:ascii="Noto Sans" w:hAnsi="Noto Sans" w:eastAsia="Arial Unicode MS" w:cs="Noto Sans"/>
          <w:b w:val="0"/>
        </w:rPr>
        <w:t>Websiteproducten hebben één basisprijs in CNY. Prijzen in USD en JPY worden afgeleid uit de toepasselijke dagelijkse referentievaluta-snapshot. Zodra website-checkout beschikbaar is, vergrendelt bestellingbevestiging de weergegeven productvaluta en het bedrag.</w:t>
      </w:r>
    </w:p>
    <w:p>
      <w:pPr>
        <w:pStyle w:val="ListBullet"/>
        <w:keepLines w:val="0"/>
      </w:pPr>
      <w:r>
        <w:rPr>
          <w:rFonts w:ascii="Noto Sans" w:hAnsi="Noto Sans" w:eastAsia="Arial Unicode MS" w:cs="Noto Sans"/>
          <w:b w:val="0"/>
        </w:rPr>
        <w:t>In gevallen van herhaalde afschrijvingen, mislukte creditering, verkeerde levering, duidelijke technische fouten of discrepanties tussen de goederen en de publiekelijk bekendgemaakte informatie, zal prioriteit worden gegeven aan onderzoek en passende remedies zoals vervanging, reparatie, terugbetaling of andere geschikte compensatie zullen worden geboden.</w:t>
      </w:r>
    </w:p>
    <w:p>
      <w:pPr>
        <w:pStyle w:val="ListBullet"/>
        <w:keepLines w:val="0"/>
      </w:pPr>
      <w:r>
        <w:rPr>
          <w:rFonts w:ascii="Noto Sans" w:hAnsi="Noto Sans" w:eastAsia="Arial Unicode MS" w:cs="Noto Sans"/>
          <w:b w:val="0"/>
        </w:rPr>
        <w:t>Digitale goederen die al zijn geactiveerd, verbruikt, overgedragen, geruild, of waarvan de willekeurige resultaten zijn gegenereerd, zijn over het algemeen niet in aanmerking voor vrijwillige terugbetalingen vanwege "spijt van de aankoop" of "ontevredenheid met het willekeurige resultaat"; uitzonderingen gelden waar anderszins voorzien door toepasselijk recht.</w:t>
      </w:r>
    </w:p>
    <w:p>
      <w:pPr>
        <w:pStyle w:val="ListBullet"/>
        <w:keepLines w:val="0"/>
      </w:pPr>
      <w:r>
        <w:rPr>
          <w:rFonts w:ascii="Noto Sans" w:hAnsi="Noto Sans" w:eastAsia="Arial Unicode MS" w:cs="Noto Sans"/>
          <w:b w:val="0"/>
        </w:rPr>
        <w:t>Bestellingen geplaatst via Apple App Store, Steam en toekomstige platforms zoals Google Play zullen, waar mogelijk, de respectieve refund-procedures van het betreffende platform volgen. DAWNBLOOM zal desgewenst helpen bij het verifiëren van de bestel- en leveringsstatus.</w:t>
      </w:r>
    </w:p>
    <w:p>
      <w:pPr>
        <w:pStyle w:val="ListBullet"/>
        <w:keepLines w:val="0"/>
      </w:pPr>
      <w:r>
        <w:rPr>
          <w:rFonts w:ascii="Noto Sans" w:hAnsi="Noto Sans" w:eastAsia="Arial Unicode MS" w:cs="Noto Sans"/>
          <w:b w:val="0"/>
        </w:rPr>
        <w:t>Het gebruik van Apple Pay op de officiële website is een betaalmethode en komt niet overeen met in-app-aankopen binnen de App Store. Bestellingen geplaatst via Apple Pay door middel van dawnbloom.net worden beschouwd als bestellingen op de officiële website.</w:t>
      </w:r>
    </w:p>
    <w:p>
      <w:pPr>
        <w:pStyle w:val="ListBullet"/>
        <w:keepLines w:val="0"/>
      </w:pPr>
      <w:r>
        <w:rPr>
          <w:rFonts w:ascii="Noto Sans" w:hAnsi="Noto Sans" w:eastAsia="Arial Unicode MS" w:cs="Noto Sans"/>
          <w:b w:val="0"/>
        </w:rPr>
        <w:t>De dienst is bedoeld voor volwassenen van 18 jaar of ouder. Claims van minderjarige aankopen worden beoordeeld volgens toepasselijk recht, bewijs en platformregels, zonder een vaste plafond van 70%. Na een geverifieerde minderjarige aankoop die een goedgekeurd volledig of aanzienlijk volledige terugbetaling heeft ontvangen die daadwerkelijk is voltooid, wordt het gerelateerde gameaccount permanent beperkt tot normale gameservice; foutieve beslissingen kunnen worden gecorrigeerd door geautoriseerde menselijke beoordeling.</w:t>
      </w:r>
    </w:p>
    <w:p>
      <w:pPr>
        <w:pStyle w:val="ListBullet"/>
        <w:keepLines w:val="0"/>
      </w:pPr>
      <w:r>
        <w:rPr>
          <w:rFonts w:ascii="Noto Sans" w:hAnsi="Noto Sans" w:eastAsia="Arial Unicode MS" w:cs="Noto Sans"/>
          <w:b w:val="0"/>
        </w:rPr>
        <w:t>Digitale rechten gekoppeld aan een voltooide terugbetaling kunnen worden teruggedraaid. Gewone terugbetalingen en geschillen te goeder trouw leiden niet automatisch tot de specifiek voor minderjarigen geldende spelbeperking. Die beperking vermindert geen wettig goedgekeurde terugbetaling en schakelt het hele DAWNBLOOM-account niet automatisch uit.</w:t>
      </w:r>
    </w:p>
    <w:p>
      <w:pPr>
        <w:pStyle w:val="ListBullet"/>
        <w:keepLines w:val="0"/>
      </w:pPr>
      <w:r>
        <w:rPr>
          <w:rFonts w:ascii="Noto Sans" w:hAnsi="Noto Sans" w:eastAsia="Arial Unicode MS" w:cs="Noto Sans"/>
          <w:b w:val="0"/>
        </w:rPr>
        <w:t>De kans, prijzenpotten en versie-informatie voor willekeurige goederen moeten duidelijk worden bekendgemaakt vóór aankoop; het specifieke verkoopmechanisme voor willekeurige goederen in het vasteland China moet een speciale compliance-gate passeren vóór officiële lancering.</w:t>
      </w:r>
    </w:p>
    <w:p>
      <w:pPr>
        <w:pStyle w:val="Heading1"/>
        <w:keepLines w:val="0"/>
      </w:pPr>
      <w:r>
        <w:rPr>
          <w:rFonts w:ascii="Noto Sans" w:hAnsi="Noto Sans" w:eastAsia="Arial Unicode MS" w:cs="Noto Sans"/>
          <w:b w:val="0"/>
        </w:rPr>
        <w:t>1. Toepassingsgebied en koopgerechtigdheid</w:t>
      </w:r>
    </w:p>
    <w:p>
      <w:pPr>
        <w:keepLines w:val="0"/>
      </w:pPr>
      <w:r>
        <w:rPr>
          <w:rFonts w:ascii="Noto Sans" w:hAnsi="Noto Sans" w:eastAsia="Arial Unicode MS" w:cs="Noto Sans"/>
          <w:b w:val="0"/>
        </w:rPr>
        <w:t>Deze voorwaarden zijn van toepassing op digitale goederen die via de DAWNBLOOM-webwinkelsite zijn aangeschaft. Aankopen die door de Apple App Store, Steam, Google Play of een ander platform worden geprijsd, in rekening gebracht of terugbetaald, volgen de regels en toepasselijke wetgeving van dat platform, in plaats van het dagelijkse wisselkoers- of koerssysteem van de website. De beschikbaarheid van betalingen op de website wordt weergegeven tijdens het daadwerkelijke afrekenproces.</w:t>
      </w:r>
    </w:p>
    <w:p>
      <w:pPr>
        <w:keepLines w:val="0"/>
      </w:pPr>
      <w:r>
        <w:rPr>
          <w:rFonts w:ascii="Noto Sans" w:hAnsi="Noto Sans" w:eastAsia="Arial Unicode MS" w:cs="Noto Sans"/>
          <w:b w:val="0"/>
        </w:rPr>
        <w:t>Het opnemen van de zes apps in het productassortiment betekent niet dat elke app beschikbaar is voor aankoop of abonnement. Als later betaalde software of in-app-items worden aangeboden, zal de verkooppagina de prijsstelling, levering, annulering en restitutie vóór aankoop vermelden. De huidige regels voor virtuele items in games gelden niet automatisch voor softwareaankopen.</w:t>
      </w:r>
    </w:p>
    <w:p>
      <w:pPr>
        <w:keepLines w:val="0"/>
      </w:pPr>
      <w:r>
        <w:rPr>
          <w:rFonts w:ascii="Noto Sans" w:hAnsi="Noto Sans" w:eastAsia="Arial Unicode MS" w:cs="Noto Sans"/>
          <w:b w:val="0"/>
        </w:rPr>
        <w:t>DAWNBLOOM Service is momenteel exclusief beschikbaar voor gebruikers van ten minste 18 jaar. Voordat ze een bestelling plaatsen, moeten gebruikers ervoor zorgen dat ze de wettelijke capaciteit hebben om contracten aan te gaan en de relevante betaalmethoden te gebruiken, en bevestigen dat de aankoophandeling door henzelf of door een wettelijk gemachtigde houder van het betaalinstrument is geautoriseerd.</w:t>
      </w:r>
    </w:p>
    <w:p>
      <w:pPr>
        <w:keepLines w:val="0"/>
      </w:pPr>
      <w:r>
        <w:rPr>
          <w:rFonts w:ascii="Noto Sans" w:hAnsi="Noto Sans" w:eastAsia="Arial Unicode MS" w:cs="Noto Sans"/>
          <w:b w:val="0"/>
        </w:rPr>
        <w:t>Gebruikersaankopen via platforms van derden vallen onder de servicevoorwaarden, ontwikkelaarsrichtlijnen, terugbetalingsbeleid en toepasselijke lokale wetgeving van dergelijke platforms. Indien de regels van het platform gebruikers gunstiger en niet-uitsluitbare terugbetalingsrechten bieden, zijn deze regels en wetgeving van toepassing.</w:t>
      </w:r>
    </w:p>
    <w:p>
      <w:pPr>
        <w:pStyle w:val="Heading1"/>
        <w:keepLines w:val="0"/>
      </w:pPr>
      <w:r>
        <w:rPr>
          <w:rFonts w:ascii="Noto Sans" w:hAnsi="Noto Sans" w:eastAsia="Arial Unicode MS" w:cs="Noto Sans"/>
          <w:b w:val="0"/>
        </w:rPr>
        <w:t>2. Digitale goederen, prijzen en betaalmethoden</w:t>
      </w:r>
    </w:p>
    <w:p>
      <w:pPr>
        <w:pStyle w:val="Heading1"/>
        <w:keepLines w:val="0"/>
      </w:pPr>
      <w:r>
        <w:rPr>
          <w:rFonts w:ascii="Noto Sans" w:hAnsi="Noto Sans" w:eastAsia="Arial Unicode MS" w:cs="Noto Sans"/>
          <w:b w:val="0"/>
        </w:rPr>
        <w:t>2.1 Soort goederen</w:t>
      </w:r>
    </w:p>
    <w:tbl>
      <w:tblPr>
        <w:tblStyle w:val="TableGrid"/>
        <w:tblW w:type="auto" w:w="0"/>
        <w:tblLayout w:type="autofit"/>
        <w:tblLook w:firstColumn="1" w:firstRow="1" w:lastColumn="0" w:lastRow="0" w:noHBand="0" w:noVBand="1" w:val="04A0"/>
      </w:tblPr>
      <w:tblGrid>
        <w:gridCol w:w="3249"/>
        <w:gridCol w:w="3249"/>
        <w:gridCol w:w="3249"/>
      </w:tblGrid>
      <w:tr>
        <w:trPr>
          <w:cantSplit/>
          <w:tblHeader/>
        </w:trPr>
        <w:tc>
          <w:tcPr>
            <w:tcW w:type="dxa" w:w="3249"/>
            <w:vAlign w:val="center"/>
            <w:shd w:fill="DCE8F7"/>
          </w:tcPr>
          <w:p>
            <w:pPr>
              <w:keepNext/>
              <w:spacing w:after="40"/>
            </w:pPr>
            <w:r>
              <w:rPr>
                <w:rFonts w:ascii="Noto Sans" w:hAnsi="Noto Sans" w:eastAsia="Arial Unicode MS" w:cs="Noto Sans"/>
                <w:b/>
                <w:sz w:val="17"/>
              </w:rPr>
              <w:t>Productcategorieën</w:t>
            </w:r>
          </w:p>
        </w:tc>
        <w:tc>
          <w:tcPr>
            <w:tcW w:type="dxa" w:w="3249"/>
            <w:vAlign w:val="center"/>
            <w:shd w:fill="DCE8F7"/>
          </w:tcPr>
          <w:p>
            <w:pPr>
              <w:keepNext/>
              <w:spacing w:after="40"/>
            </w:pPr>
            <w:r>
              <w:rPr>
                <w:rFonts w:ascii="Noto Sans" w:hAnsi="Noto Sans" w:eastAsia="Arial Unicode MS" w:cs="Noto Sans"/>
                <w:b/>
                <w:sz w:val="17"/>
              </w:rPr>
              <w:t>Vereisten voor openbaarmaking vóór aankoop</w:t>
            </w:r>
          </w:p>
        </w:tc>
        <w:tc>
          <w:tcPr>
            <w:tcW w:type="dxa" w:w="3249"/>
            <w:vAlign w:val="center"/>
            <w:shd w:fill="DCE8F7"/>
          </w:tcPr>
          <w:p>
            <w:pPr>
              <w:keepNext/>
              <w:spacing w:after="40"/>
            </w:pPr>
            <w:r>
              <w:rPr>
                <w:rFonts w:ascii="Noto Sans" w:hAnsi="Noto Sans" w:eastAsia="Arial Unicode MS" w:cs="Noto Sans"/>
                <w:b/>
                <w:sz w:val="17"/>
              </w:rPr>
              <w:t>Leveringseigenschappen</w:t>
            </w:r>
          </w:p>
        </w:tc>
      </w:tr>
      <w:tr>
        <w:trPr>
          <w:cantSplit/>
        </w:trPr>
        <w:tc>
          <w:tcPr>
            <w:tcW w:type="dxa" w:w="3249"/>
            <w:vAlign w:val="center"/>
          </w:tcPr>
          <w:p>
            <w:pPr>
              <w:spacing w:after="40"/>
            </w:pPr>
            <w:r>
              <w:rPr>
                <w:rFonts w:ascii="Noto Sans" w:hAnsi="Noto Sans" w:eastAsia="Arial Unicode MS" w:cs="Noto Sans"/>
                <w:sz w:val="17"/>
              </w:rPr>
              <w:t>Schatkisten met vaste inhoud</w:t>
            </w:r>
          </w:p>
        </w:tc>
        <w:tc>
          <w:tcPr>
            <w:tcW w:type="dxa" w:w="3249"/>
            <w:vAlign w:val="center"/>
          </w:tcPr>
          <w:p>
            <w:pPr>
              <w:spacing w:after="40"/>
            </w:pPr>
            <w:r>
              <w:rPr>
                <w:rFonts w:ascii="Noto Sans" w:hAnsi="Noto Sans" w:eastAsia="Arial Unicode MS" w:cs="Noto Sans"/>
                <w:sz w:val="17"/>
              </w:rPr>
              <w:t>Prijs, volledige inhoud, hoeveelheid, gebruiks-/transactiebeperkingen en geldigheidsduur (indien van toepassing)</w:t>
            </w:r>
          </w:p>
        </w:tc>
        <w:tc>
          <w:tcPr>
            <w:tcW w:type="dxa" w:w="3249"/>
            <w:vAlign w:val="center"/>
          </w:tcPr>
          <w:p>
            <w:pPr>
              <w:spacing w:after="40"/>
            </w:pPr>
            <w:r>
              <w:rPr>
                <w:rFonts w:ascii="Noto Sans" w:hAnsi="Noto Sans" w:eastAsia="Arial Unicode MS" w:cs="Noto Sans"/>
                <w:sz w:val="17"/>
              </w:rPr>
              <w:t>Na bevestiging van de betaling wordt de inhoud aan het corresponderende game-account geleverd; de inhoud is niet willekeurig.</w:t>
            </w:r>
          </w:p>
        </w:tc>
      </w:tr>
      <w:tr>
        <w:trPr>
          <w:cantSplit/>
        </w:trPr>
        <w:tc>
          <w:tcPr>
            <w:tcW w:type="dxa" w:w="3249"/>
            <w:vAlign w:val="center"/>
          </w:tcPr>
          <w:p>
            <w:pPr>
              <w:spacing w:after="40"/>
            </w:pPr>
            <w:r>
              <w:rPr>
                <w:rFonts w:ascii="Noto Sans" w:hAnsi="Noto Sans" w:eastAsia="Arial Unicode MS" w:cs="Noto Sans"/>
                <w:sz w:val="17"/>
              </w:rPr>
              <w:t>Willekeurige schatkist</w:t>
            </w:r>
          </w:p>
        </w:tc>
        <w:tc>
          <w:tcPr>
            <w:tcW w:type="dxa" w:w="3249"/>
            <w:vAlign w:val="center"/>
          </w:tcPr>
          <w:p>
            <w:pPr>
              <w:spacing w:after="40"/>
            </w:pPr>
            <w:r>
              <w:rPr>
                <w:rFonts w:ascii="Noto Sans" w:hAnsi="Noto Sans" w:eastAsia="Arial Unicode MS" w:cs="Noto Sans"/>
                <w:sz w:val="17"/>
              </w:rPr>
              <w:t>Prijs, bereik van mogelijke items, waarschijnlijkheidsregels of -regelingen, hoeveelheid of zeldzaamheid, versienummer/datum van inwerkingtreding, beperkende voorwaarden</w:t>
            </w:r>
          </w:p>
        </w:tc>
        <w:tc>
          <w:tcPr>
            <w:tcW w:type="dxa" w:w="3249"/>
            <w:vAlign w:val="center"/>
          </w:tcPr>
          <w:p>
            <w:pPr>
              <w:spacing w:after="40"/>
            </w:pPr>
            <w:r>
              <w:rPr>
                <w:rFonts w:ascii="Noto Sans" w:hAnsi="Noto Sans" w:eastAsia="Arial Unicode MS" w:cs="Noto Sans"/>
                <w:sz w:val="17"/>
              </w:rPr>
              <w:t>Na bevestiging van de betaling wordt de schatkist aan het corresponderende game-account uitgegeven; bij het openen wordt het willekeurige resultaat gegenereerd volgens de regels die op het moment van openen publiekelijk bekend zijn gemaakt.</w:t>
            </w:r>
          </w:p>
        </w:tc>
      </w:tr>
      <w:tr>
        <w:trPr>
          <w:cantSplit/>
        </w:trPr>
        <w:tc>
          <w:tcPr>
            <w:tcW w:type="dxa" w:w="3249"/>
            <w:vAlign w:val="center"/>
          </w:tcPr>
          <w:p>
            <w:pPr>
              <w:spacing w:after="40"/>
            </w:pPr>
            <w:r>
              <w:rPr>
                <w:rFonts w:ascii="Noto Sans" w:hAnsi="Noto Sans" w:eastAsia="Arial Unicode MS" w:cs="Noto Sans"/>
                <w:sz w:val="17"/>
              </w:rPr>
              <w:t>Toekomstige digitale goederen</w:t>
            </w:r>
          </w:p>
        </w:tc>
        <w:tc>
          <w:tcPr>
            <w:tcW w:type="dxa" w:w="3249"/>
            <w:vAlign w:val="center"/>
          </w:tcPr>
          <w:p>
            <w:pPr>
              <w:spacing w:after="40"/>
            </w:pPr>
            <w:r>
              <w:rPr>
                <w:rFonts w:ascii="Noto Sans" w:hAnsi="Noto Sans" w:eastAsia="Arial Unicode MS" w:cs="Noto Sans"/>
                <w:sz w:val="17"/>
              </w:rPr>
              <w:t>Specifieke voorwaarden voor prijs, inhoud, levering en restitutie worden gedefinieerd op basis van de aard van de goederen.</w:t>
            </w:r>
          </w:p>
        </w:tc>
        <w:tc>
          <w:tcPr>
            <w:tcW w:type="dxa" w:w="3249"/>
            <w:vAlign w:val="center"/>
          </w:tcPr>
          <w:p>
            <w:pPr>
              <w:spacing w:after="40"/>
            </w:pPr>
            <w:r>
              <w:rPr>
                <w:rFonts w:ascii="Noto Sans" w:hAnsi="Noto Sans" w:eastAsia="Arial Unicode MS" w:cs="Noto Sans"/>
                <w:sz w:val="17"/>
              </w:rPr>
              <w:t>De aankooppagina en deze voorwaarden zijn leidend.</w:t>
            </w:r>
          </w:p>
        </w:tc>
      </w:tr>
    </w:tbl>
    <w:p>
      <w:pPr>
        <w:spacing w:after="40"/>
      </w:pPr>
    </w:p>
    <w:p>
      <w:pPr>
        <w:pStyle w:val="Heading1"/>
        <w:keepLines w:val="0"/>
      </w:pPr>
      <w:r>
        <w:rPr>
          <w:rFonts w:ascii="Noto Sans" w:hAnsi="Noto Sans" w:eastAsia="Arial Unicode MS" w:cs="Noto Sans"/>
          <w:b w:val="0"/>
        </w:rPr>
        <w:t>2.2 Betaalmethoden</w:t>
      </w:r>
    </w:p>
    <w:p>
      <w:pPr>
        <w:keepLines w:val="0"/>
      </w:pPr>
      <w:r>
        <w:rPr>
          <w:rFonts w:ascii="Noto Sans" w:hAnsi="Noto Sans" w:eastAsia="Arial Unicode MS" w:cs="Noto Sans"/>
          <w:b w:val="0"/>
        </w:rPr>
        <w:t>Wanneer de websitebetaling wordt geopend, kunnen wettelijk beschikbare methoden variëren per regio en apparaat. De werkelijke methode, settlementvaluta, belastingen en verificatiestappen moeten vóór definitieve bevestiging worden weergegeven.</w:t>
      </w:r>
    </w:p>
    <w:p>
      <w:pPr>
        <w:keepLines w:val="0"/>
      </w:pPr>
      <w:r>
        <w:rPr>
          <w:rFonts w:ascii="Noto Sans" w:hAnsi="Noto Sans" w:eastAsia="Arial Unicode MS" w:cs="Noto Sans"/>
          <w:b w:val="0"/>
        </w:rPr>
        <w:t>Betalingen via Apple Pay op dawnbloom.net worden beschouwd als officiële websitebestellingen; Apple Pay dient uitsluitend als betaalmethode en vormt geen in-app-aankoop die via de App Store is voltooid.</w:t>
      </w:r>
    </w:p>
    <w:p>
      <w:pPr>
        <w:pStyle w:val="Heading1"/>
        <w:keepLines w:val="0"/>
      </w:pPr>
      <w:r>
        <w:rPr>
          <w:rFonts w:ascii="Noto Sans" w:hAnsi="Noto Sans" w:eastAsia="Arial Unicode MS" w:cs="Noto Sans"/>
          <w:b w:val="0"/>
        </w:rPr>
        <w:t>2.3 Prijzen, belastingen en wisselkoersen</w:t>
      </w:r>
    </w:p>
    <w:p>
      <w:pPr>
        <w:keepLines w:val="0"/>
      </w:pPr>
      <w:r>
        <w:rPr>
          <w:rFonts w:ascii="Noto Sans" w:hAnsi="Noto Sans" w:eastAsia="Arial Unicode MS" w:cs="Noto Sans"/>
          <w:b w:val="0"/>
        </w:rPr>
        <w:t>CNY is de enige basisvaluta voor websiteproducten. De prijzen in USD en JPY worden direct berekend vanuit CNY met dezelfde toepasselijke dagelijkse referentie-wisselkoerssnapshot, afgerond op centen en hele yen respectievelijk; CNY gebruikt fen. Koersen worden doorgaans één keer per dag bijgewerkt. Als een update mislukt, kan de meest recente geldige snapshot worden gebruikt waarbij de update-tijd wordt weergegeven. De koers is referentie-informatie; een productprijs die hieruit is berekend en getoond in een geldige prijsopgave is de werkelijke settlement price. Bij bevestiging vergrendelt de opgave het product, de valuta en het bedrag, zelfs als de dagelijkse update plaatsvindt tijdens de geldigheidsduur. Een verlopen opgave vereist een nieuwe prijs en gebruikersbevestiging. Het weergegeven productbedrag, het geldige orderbedrag en het betaalproductbedrag moeten overeenkomen, zonder een tweede checkout-conversie. Productprijs, toepasselijke belastingen en andere te betalen kosten moeten apart worden gecommuniceerd vóór bevestiging. Bankafschriftconversie en onafhankelijk berekende buitenlandse transactiekosten vallen buiten de dagelijkse websitekoers.</w:t>
      </w:r>
    </w:p>
    <w:p>
      <w:pPr>
        <w:pStyle w:val="Heading1"/>
        <w:keepLines w:val="0"/>
      </w:pPr>
      <w:r>
        <w:rPr>
          <w:rFonts w:ascii="Noto Sans" w:hAnsi="Noto Sans" w:eastAsia="Arial Unicode MS" w:cs="Noto Sans"/>
          <w:b w:val="0"/>
        </w:rPr>
        <w:t>3. Bestellingbevestiging, totstandkoming bestelling en digitale levering</w:t>
      </w:r>
    </w:p>
    <w:p>
      <w:pPr>
        <w:keepLines w:val="0"/>
      </w:pPr>
      <w:r>
        <w:rPr>
          <w:rFonts w:ascii="Noto Sans" w:hAnsi="Noto Sans" w:eastAsia="Arial Unicode MS" w:cs="Noto Sans"/>
          <w:b w:val="0"/>
        </w:rPr>
        <w:t>Vóór het plaatsen van een bestelling moeten gebruikers het artikel, de hoeveelheid, het type, de geselecteerde valuta, de vergrendelde productprijs, afzonderlijk vermelde belastingen of kosten, het totale te betalen bedrag, het leveringsaccount en de terugbetalingsmelding kunnen bekijken. Een gewijzigde CNY-basisprijs of dagkoers beïnvloedt alleen nieuw bevestigde offertes; betaalde bestellingen worden nooit opnieuw geprijsd.</w:t>
      </w:r>
    </w:p>
    <w:p>
      <w:pPr>
        <w:keepLines w:val="0"/>
      </w:pPr>
      <w:r>
        <w:rPr>
          <w:rFonts w:ascii="Noto Sans" w:hAnsi="Noto Sans" w:eastAsia="Arial Unicode MS" w:cs="Noto Sans"/>
          <w:b w:val="0"/>
        </w:rPr>
        <w:t xml:space="preserve">Na succesvolle betaling en systeembevestiging worden de digitale goederen automatisch uitgegeven aan het game-account dat aan de aankoop is gekoppeld. Als de betaling is voltooid maar het systeem deze niet heeft bevestigd, fondsen met vertraging zijn aangekomen of de levering is mislukt, moet de gebruiker het ordernummer bewaren en contact opnemen met </w:t>
      </w:r>
      <w:hyperlink r:id="rId12">
        <w:r>
          <w:rPr>
            <w:rFonts w:ascii="Noto Sans" w:hAnsi="Noto Sans" w:eastAsia="Arial Unicode MS"/>
            <w:b w:val="0"/>
          </w:rPr>
          <w:t xml:space="preserve">support@dawnbloom.net</w:t>
        </w:r>
      </w:hyperlink>
      <w:r>
        <w:rPr>
          <w:rFonts w:ascii="Noto Sans" w:hAnsi="Noto Sans" w:eastAsia="Arial Unicode MS" w:cs="Noto Sans"/>
          <w:b w:val="0"/>
        </w:rPr>
        <w:t xml:space="preserve">.</w:t>
      </w:r>
    </w:p>
    <w:p>
      <w:pPr>
        <w:keepLines w:val="0"/>
      </w:pPr>
      <w:r>
        <w:rPr>
          <w:rFonts w:ascii="Noto Sans" w:hAnsi="Noto Sans" w:eastAsia="Arial Unicode MS" w:cs="Noto Sans"/>
          <w:b w:val="0"/>
        </w:rPr>
        <w:t>Bestandsdelen van bestellingen moeten de CNY-basisprijs bij aankoop, de werkelijke afrekenvaluta en -bedrag, FX-snapshot, transactietijd, leverings- en gebruikrecords voor terugbetalingen, ondersteuning, audits en geschillen behouden, conform het Privacybeleid.</w:t>
      </w:r>
    </w:p>
    <w:p>
      <w:pPr>
        <w:pStyle w:val="Heading1"/>
        <w:keepLines w:val="0"/>
      </w:pPr>
      <w:r>
        <w:rPr>
          <w:rFonts w:ascii="Noto Sans" w:hAnsi="Noto Sans" w:eastAsia="Arial Unicode MS" w:cs="Noto Sans"/>
          <w:b w:val="0"/>
        </w:rPr>
        <w:t>4. Algemene terugbetalingsregels voor bestellingen op de officiële website</w:t>
      </w:r>
    </w:p>
    <w:p>
      <w:pPr>
        <w:pStyle w:val="Heading1"/>
        <w:keepLines w:val="0"/>
      </w:pPr>
      <w:r>
        <w:rPr>
          <w:rFonts w:ascii="Noto Sans" w:hAnsi="Noto Sans" w:eastAsia="Arial Unicode MS" w:cs="Noto Sans"/>
          <w:b w:val="0"/>
        </w:rPr>
        <w:t>4.1 Omstandigheden die in aanmerking komen voor prioritaire terugbetaling of alternatieve verlichting</w:t>
      </w:r>
    </w:p>
    <w:p>
      <w:pPr>
        <w:pStyle w:val="ListBullet"/>
        <w:keepLines w:val="0"/>
      </w:pPr>
      <w:r>
        <w:rPr>
          <w:rFonts w:ascii="Noto Sans" w:hAnsi="Noto Sans" w:eastAsia="Arial Unicode MS" w:cs="Noto Sans"/>
          <w:b w:val="0"/>
        </w:rPr>
        <w:t>Dubbele charges of het creëren van dubbele bestellingen door systeem- of betalingsanomalieën, waarbij de gedupliceerde bedragen geen extra rechten of voordelen opleveren die door de gebruiker worden behouden;</w:t>
      </w:r>
    </w:p>
    <w:p>
      <w:pPr>
        <w:pStyle w:val="ListBullet"/>
        <w:keepLines w:val="0"/>
      </w:pPr>
      <w:r>
        <w:rPr>
          <w:rFonts w:ascii="Noto Sans" w:hAnsi="Noto Sans" w:eastAsia="Arial Unicode MS" w:cs="Noto Sans"/>
          <w:b w:val="0"/>
        </w:rPr>
        <w:t>De betaling is succesvol voltooid, maar het product is niet binnen een redelijke termijn geleverd, en het probleem kan niet worden opgelost via vervanging;</w:t>
      </w:r>
    </w:p>
    <w:p>
      <w:pPr>
        <w:pStyle w:val="ListBullet"/>
        <w:keepLines w:val="0"/>
      </w:pPr>
      <w:r>
        <w:rPr>
          <w:rFonts w:ascii="Noto Sans" w:hAnsi="Noto Sans" w:eastAsia="Arial Unicode MS" w:cs="Noto Sans"/>
          <w:b w:val="0"/>
        </w:rPr>
        <w:t>De daadwerkelijk geleverde inhoud verschilt van wat expliciet werd gecommuniceerd op de productaankooppagina;</w:t>
      </w:r>
    </w:p>
    <w:p>
      <w:pPr>
        <w:pStyle w:val="ListBullet"/>
        <w:keepLines w:val="0"/>
      </w:pPr>
      <w:r>
        <w:rPr>
          <w:rFonts w:ascii="Noto Sans" w:hAnsi="Noto Sans" w:eastAsia="Arial Unicode MS" w:cs="Noto Sans"/>
          <w:b w:val="0"/>
        </w:rPr>
        <w:t>Vanwege technische fouten van DAWNBLOOM die leiden tot bestelfouten, abnormaal verbruik, incorrecte activatie, of onvermogen om normaal te gebruiken, en dergelijke problemen kunnen niet worden verholpen om de rechtmatige entitlements van de gebruiker te herstellen;</w:t>
      </w:r>
    </w:p>
    <w:p>
      <w:pPr>
        <w:pStyle w:val="ListBullet"/>
        <w:keepLines w:val="0"/>
      </w:pPr>
      <w:r>
        <w:rPr>
          <w:rFonts w:ascii="Noto Sans" w:hAnsi="Noto Sans" w:eastAsia="Arial Unicode MS" w:cs="Noto Sans"/>
          <w:b w:val="0"/>
        </w:rPr>
        <w:t>De betaling is ongeautoriseerd en toepasselijke wetgeving, regels van betalingsnetwerken of gerechtelijke of regelgevende vereisten verplichten tot een terugbetaling;</w:t>
      </w:r>
    </w:p>
    <w:p>
      <w:pPr>
        <w:pStyle w:val="ListBullet"/>
        <w:keepLines w:val="0"/>
      </w:pPr>
      <w:r>
        <w:rPr>
          <w:rFonts w:ascii="Noto Sans" w:hAnsi="Noto Sans" w:eastAsia="Arial Unicode MS" w:cs="Noto Sans"/>
          <w:b w:val="0"/>
        </w:rPr>
        <w:t>Andere omstandigheden zoals voorzien door toepasselijke wetgeving die een terugbetaling, annulering, beëindiging of gelijkwaardige remedie vereisen.</w:t>
      </w:r>
    </w:p>
    <w:p>
      <w:pPr>
        <w:pStyle w:val="Heading1"/>
        <w:keepLines w:val="0"/>
      </w:pPr>
      <w:r>
        <w:rPr>
          <w:rFonts w:ascii="Noto Sans" w:hAnsi="Noto Sans" w:eastAsia="Arial Unicode MS" w:cs="Noto Sans"/>
          <w:b w:val="0"/>
        </w:rPr>
        <w:t>4.2 Algemene omstandigheden die geen grond vormen voor vrijwillige terugbetaling</w:t>
      </w:r>
    </w:p>
    <w:p>
      <w:pPr>
        <w:pStyle w:val="ListBullet"/>
        <w:keepLines w:val="0"/>
      </w:pPr>
      <w:r>
        <w:rPr>
          <w:rFonts w:ascii="Noto Sans" w:hAnsi="Noto Sans" w:eastAsia="Arial Unicode MS" w:cs="Noto Sans"/>
          <w:b w:val="0"/>
        </w:rPr>
        <w:t>De gebruiker verandert eenvoudigweg van mening na aankoop, en de digitale goederen zijn al onmiddellijk geleverd, geactiveerd, opgeëist, verbruikt, geruild, overgedragen of anderszins materieel gebruikt;</w:t>
      </w:r>
    </w:p>
    <w:p>
      <w:pPr>
        <w:pStyle w:val="ListBullet"/>
        <w:keepLines w:val="0"/>
      </w:pPr>
      <w:r>
        <w:rPr>
          <w:rFonts w:ascii="Noto Sans" w:hAnsi="Noto Sans" w:eastAsia="Arial Unicode MS" w:cs="Noto Sans"/>
          <w:b w:val="0"/>
        </w:rPr>
        <w:t>De gebruiker vraagt uitsluitend om een terugbetaling omdat hij geen specifiek item heeft ontvangen dat hij verwachtte, hoewel de willekeurige doos normaal werkte volgens de werkelijke kansen en regels die bij aankoop werden bekendgemaakt;</w:t>
      </w:r>
    </w:p>
    <w:p>
      <w:pPr>
        <w:pStyle w:val="ListBullet"/>
        <w:keepLines w:val="0"/>
      </w:pPr>
      <w:r>
        <w:rPr>
          <w:rFonts w:ascii="Noto Sans" w:hAnsi="Noto Sans" w:eastAsia="Arial Unicode MS" w:cs="Noto Sans"/>
          <w:b w:val="0"/>
        </w:rPr>
        <w:t>Technische problemen die voortkomen uit het apparaat, netwerk, plug-ins van derden of niet-officiële client van de gebruiker, waarbij het product correct is geleverd;</w:t>
      </w:r>
    </w:p>
    <w:p>
      <w:pPr>
        <w:pStyle w:val="ListBullet"/>
        <w:keepLines w:val="0"/>
      </w:pPr>
      <w:r>
        <w:rPr>
          <w:rFonts w:ascii="Noto Sans" w:hAnsi="Noto Sans" w:eastAsia="Arial Unicode MS" w:cs="Noto Sans"/>
          <w:b w:val="0"/>
        </w:rPr>
        <w:t>Illegale winsten, kopieën van items, bedriegerijwinsten of frauduleuze opbrengsten die rechtmatig of conform de regels van de gebruiker worden ingevorderd wegens schending van de "Spelersregels &amp; Handhavingsbeleid";</w:t>
      </w:r>
    </w:p>
    <w:p>
      <w:pPr>
        <w:pStyle w:val="ListBullet"/>
        <w:keepLines w:val="0"/>
      </w:pPr>
      <w:r>
        <w:rPr>
          <w:rFonts w:ascii="Noto Sans" w:hAnsi="Noto Sans" w:eastAsia="Arial Unicode MS" w:cs="Noto Sans"/>
          <w:b w:val="0"/>
        </w:rPr>
        <w:t>Geschillen die voortvloeien uit aankopen via ongeautoriseerde kanalen, third-party oplaadacties, zwarte kaarten, ongeautoriseerd pinnen, wederverkoop door derden of andere ongeautoriseerde transacties.</w:t>
      </w:r>
    </w:p>
    <w:p>
      <w:pPr>
        <w:keepLines w:val="0"/>
      </w:pPr>
      <w:r>
        <w:rPr>
          <w:rFonts w:ascii="Noto Sans" w:hAnsi="Noto Sans" w:eastAsia="Arial Unicode MS" w:cs="Noto Sans"/>
          <w:b w:val="0"/>
        </w:rPr>
        <w:t>De bovenstaande „algemene omstandigheden die geen vrijwillige terugbetaling vormen” weerspiegelt slechts de standaard commerciële terugbetalingsvoorwaarden van DAWNBLOOM en sluit de wettelijke rechten van de gebruiker om af te zien, terug te betalen, te beëindigen of schadevergoeding te claimen onder toepasselijke wetgeving niet uit.</w:t>
      </w:r>
    </w:p>
    <w:p>
      <w:pPr>
        <w:pStyle w:val="Heading1"/>
        <w:keepLines w:val="0"/>
      </w:pPr>
      <w:r>
        <w:rPr>
          <w:rFonts w:ascii="Noto Sans" w:hAnsi="Noto Sans" w:eastAsia="Arial Unicode MS" w:cs="Noto Sans"/>
          <w:b w:val="0"/>
        </w:rPr>
        <w:t>4.3 Ongeopende/onbenutte digitale goederen</w:t>
      </w:r>
    </w:p>
    <w:p>
      <w:pPr>
        <w:keepLines w:val="0"/>
      </w:pPr>
      <w:r>
        <w:rPr>
          <w:rFonts w:ascii="Noto Sans" w:hAnsi="Noto Sans" w:eastAsia="Arial Unicode MS" w:cs="Noto Sans"/>
          <w:b w:val="0"/>
        </w:rPr>
        <w:t>Voor digitaal goed dat direct op de officiële website is gekocht en nog steeds volledig binnen het aankoopaccount wordt bewaard, ongeopend, niet-opgeëist, ongebruikt, nietgeruild of niet-overgedragen, kunnen gebruikers een verzoek om terugbetaling indienen. We zullen evalueren of de terugbetaling wordt geaccepteerd op basis van het betaal kanaal, aankooptijd, aard van de goederen, technische herwinbaarheid en toepasselijk lokaal recht. Als lokaal recht een meer specifieke retour- of bedenktijd vereist, hebben dergelijke rechten voorrang.</w:t>
      </w:r>
    </w:p>
    <w:p>
      <w:pPr>
        <w:pStyle w:val="Heading1"/>
        <w:keepLines w:val="0"/>
      </w:pPr>
      <w:r>
        <w:rPr>
          <w:rFonts w:ascii="Noto Sans" w:hAnsi="Noto Sans" w:eastAsia="Arial Unicode MS" w:cs="Noto Sans"/>
          <w:b w:val="0"/>
        </w:rPr>
        <w:t>5. Speciale regels voor items uit willekeurige dozen</w:t>
      </w:r>
    </w:p>
    <w:p>
      <w:pPr>
        <w:pStyle w:val="Heading1"/>
        <w:keepLines w:val="0"/>
      </w:pPr>
      <w:r>
        <w:rPr>
          <w:rFonts w:ascii="Noto Sans" w:hAnsi="Noto Sans" w:eastAsia="Arial Unicode MS" w:cs="Noto Sans"/>
          <w:b w:val="0"/>
        </w:rPr>
        <w:t>5.1 Openbaarmaking van kansen en prijzenpot</w:t>
      </w:r>
    </w:p>
    <w:p>
      <w:pPr>
        <w:keepLines w:val="0"/>
      </w:pPr>
      <w:r>
        <w:rPr>
          <w:rFonts w:ascii="Noto Sans" w:hAnsi="Noto Sans" w:eastAsia="Arial Unicode MS" w:cs="Noto Sans"/>
          <w:b w:val="0"/>
        </w:rPr>
        <w:t>De productdetailpagina voor willekeurige schattenkisten moet voorafgaand aan de aankoop duidelijk de potentiële inhoud, kansen of kansregels, eventuele noodzakelijke vloer/progressieve mechanismen (indien van toepassing), hoeveelheids- of zeldzaamheidsspecificaties, toepasselijke versies en effectievedata tonen. Als regels worden gewijzigd, moet een traceerbaar managementsysteem voor zowel de oude als de nieuwe versie worden geïmplementeerd.</w:t>
      </w:r>
    </w:p>
    <w:p>
      <w:pPr>
        <w:keepLines w:val="0"/>
      </w:pPr>
      <w:r>
        <w:rPr>
          <w:rFonts w:ascii="Noto Sans" w:hAnsi="Noto Sans" w:eastAsia="Arial Unicode MS" w:cs="Noto Sans"/>
          <w:b w:val="0"/>
        </w:rPr>
        <w:t>Voor digitaal goed dat reeds is aangekocht en werkt onder een specifieke versie van regels, mag geen onthuld backend-mechanisme de vastgestelde kansregels die van toepassing zijn op die bestelling op een nadelige manier voor de gebruiker wijzigen.</w:t>
      </w:r>
    </w:p>
    <w:p>
      <w:pPr>
        <w:pStyle w:val="Heading1"/>
        <w:keepLines w:val="0"/>
      </w:pPr>
      <w:r>
        <w:rPr>
          <w:rFonts w:ascii="Noto Sans" w:hAnsi="Noto Sans" w:eastAsia="Arial Unicode MS" w:cs="Noto Sans"/>
          <w:b w:val="0"/>
        </w:rPr>
        <w:t>5.2 Terugbetaling na activatie</w:t>
      </w:r>
    </w:p>
    <w:p>
      <w:pPr>
        <w:keepLines w:val="0"/>
      </w:pPr>
      <w:r>
        <w:rPr>
          <w:rFonts w:ascii="Noto Sans" w:hAnsi="Noto Sans" w:eastAsia="Arial Unicode MS" w:cs="Noto Sans"/>
          <w:b w:val="0"/>
        </w:rPr>
        <w:t>Zodra een willekeurige schatkist normaal is geopend en het resultaat is gegenereerd, vormt het resultaat zelf over het algemeen geen geldige reden voor een terugbetaling. Als er problemen optreden zoals onjuiste openbaarmaking van kansen, inconsistentie tussen de daadwerkelijke treklogica en de bekendgemaakte regels, foutieve configuratie van de itempool, systeemoverconsumptie of andere operationele oorzaken, zullen we passende remedies bieden – inclusief reparaties, compensatie, herlevering of terugbetalingen – gebaseerd op de reikwijdte van de impact, technische herstelbaarheid en toepasselijke wetgeving.</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Volgens momenteel beschikbare officiële regelgevende documenten over online gaming in China valt gameplay met willekeurige beloningen die direct betrokken is bij het injecteren van legale valuta of virtuele spelvaluta onder expliciete regelgevende beperkingen. Dergelijke mechanismen vereisen duidelijke openbaarmaking van kansen, bewaardering van records en andere nalevingsmaatregelen. Daarom mag de functie "directe betaling voor willekeurige schatkisten" niet uitsluitend op basis van deze voorwaarden worden gelanceerd in vasteland-China; er moet een gespecialiseerde juridische en compliance-review worden uitgevoerd vóór formele verkoop. Als dit verkoopmechanisme verboden is door toepasselijke regels, moet de functie worden uitgeschakeld of omgezet in een alternatief acquisitiemechanisme dat onafhankelijk is geverifieerd als compliant.</w:t>
            </w:r>
          </w:p>
        </w:tc>
      </w:tr>
    </w:tbl>
    <w:p>
      <w:pPr>
        <w:spacing w:after="40"/>
      </w:pPr>
    </w:p>
    <w:p>
      <w:pPr>
        <w:pStyle w:val="Heading1"/>
        <w:keepLines w:val="0"/>
      </w:pPr>
      <w:r>
        <w:rPr>
          <w:rFonts w:ascii="Noto Sans" w:hAnsi="Noto Sans" w:eastAsia="Arial Unicode MS" w:cs="Noto Sans"/>
          <w:b w:val="0"/>
        </w:rPr>
        <w:t>5.3 Administratie en geschillenverificatie</w:t>
      </w:r>
    </w:p>
    <w:p>
      <w:pPr>
        <w:keepLines w:val="0"/>
      </w:pPr>
      <w:r>
        <w:rPr>
          <w:rFonts w:ascii="Noto Sans" w:hAnsi="Noto Sans" w:eastAsia="Arial Unicode MS" w:cs="Noto Sans"/>
          <w:b w:val="0"/>
        </w:rPr>
        <w:t>Voor goederen van willekeurig type zullen we noodzakelijke bestelrecords, versie-informatie, openingsresultaten en kansregels bewaren gedurende de periode die vereist is door toepasselijke wetgeving en technische condities, voor doeleinden van audits, regelgevende onderzoeken, klantenservicegeschillen en geschillenbeslechting. In het gebied van vasteland-China, indien onderworpen aan relevante publieke regelgevingsvereisten, mag de bewaartermijn voor willekeurig geselecteerde records en betaal/herlaadtransactierecords niet korter zijn dan de wettelijke of regelgevende vereisten.</w:t>
      </w:r>
    </w:p>
    <w:p>
      <w:pPr>
        <w:pStyle w:val="Heading1"/>
        <w:keepLines w:val="0"/>
      </w:pPr>
      <w:r>
        <w:rPr>
          <w:rFonts w:ascii="Noto Sans" w:hAnsi="Noto Sans" w:eastAsia="Arial Unicode MS" w:cs="Noto Sans"/>
          <w:b w:val="0"/>
        </w:rPr>
        <w:t>6. Terugbetaling voor bestellingen op platforms van derden</w:t>
      </w:r>
    </w:p>
    <w:p>
      <w:pPr>
        <w:pStyle w:val="Heading1"/>
        <w:keepLines w:val="0"/>
      </w:pPr>
      <w:r>
        <w:rPr>
          <w:rFonts w:ascii="Noto Sans" w:hAnsi="Noto Sans" w:eastAsia="Arial Unicode MS" w:cs="Noto Sans"/>
          <w:b w:val="0"/>
        </w:rPr>
        <w:t>6.1 Apple App Store</w:t>
      </w:r>
    </w:p>
    <w:p>
      <w:pPr>
        <w:keepLines w:val="0"/>
      </w:pPr>
      <w:r>
        <w:rPr>
          <w:rFonts w:ascii="Noto Sans" w:hAnsi="Noto Sans" w:eastAsia="Arial Unicode MS" w:cs="Noto Sans"/>
          <w:b w:val="0"/>
        </w:rPr>
        <w:t>Voor aankopen in de app via de Apple App Store wordt gebruikers geadviseerd om terugbetalingsverzoeken in te dienen via de aangewezen terugbetalingsportal van Apple of door contact op te nemen met Apple Klantenservice. Het besluit tot goedkeuring van een terugbetaling, het tijdstip van de terugbetaling en het terugbetalingsproces worden bepaald door Apple overeenkomstig zijn eigen regels, orderspecificaties en toepasselijke wetgeving. Upon receiving notification of a refund from the App Store, DAWNBLOOM may, in accordance with the law and its internal rules, revoke the corresponding digital rights associated with such refund order. (Note: The source text has a typo 'DAWNBLOOM Upon', I will correct the flow while keeping brand exact). -&gt; Bij ontvangst van een melding van een terugbetaling vanuit de App Store, kan DAWNBLOOM, in overeenstemming met de wet en zijn interne regels, de bijbehorende digitale rechten die aan zo'n terugbetalingsorder zijn gekoppeld, intrekken.</w:t>
      </w:r>
    </w:p>
    <w:p>
      <w:pPr>
        <w:keepLines w:val="0"/>
      </w:pPr>
      <w:r>
        <w:rPr>
          <w:rFonts w:ascii="Noto Sans" w:hAnsi="Noto Sans" w:eastAsia="Arial Unicode MS" w:cs="Noto Sans"/>
          <w:b w:val="0"/>
        </w:rPr>
        <w:t>De commissie- of servicekosten van het Apple-platform maken deel uit van de schikkingsregeling tussen de ontwikkelaar en Apple en vormen geen rechtvaardiging voor het aftrekken van gebruikersrestituties tegen een vast percentage, zoals 70%.</w:t>
      </w:r>
    </w:p>
    <w:p>
      <w:pPr>
        <w:pStyle w:val="Heading1"/>
        <w:keepLines w:val="0"/>
      </w:pPr>
      <w:r>
        <w:rPr>
          <w:rFonts w:ascii="Noto Sans" w:hAnsi="Noto Sans" w:eastAsia="Arial Unicode MS" w:cs="Noto Sans"/>
          <w:b w:val="0"/>
        </w:rPr>
        <w:t>6.2 Steam</w:t>
      </w:r>
    </w:p>
    <w:p>
      <w:pPr>
        <w:keepLines w:val="0"/>
      </w:pPr>
      <w:r>
        <w:rPr>
          <w:rFonts w:ascii="Noto Sans" w:hAnsi="Noto Sans" w:eastAsia="Arial Unicode MS" w:cs="Noto Sans"/>
          <w:b w:val="0"/>
        </w:rPr>
        <w:t>Voor de basisgame, DLC's of in-game items die via Steam zijn gekocht, moeten restituties worden aangevraagd via de Klantenservice van Steam en zijn restitutie systeem. Steam biedt over het algemeen een restitutievenster van 14 dagen voor de basisgame, mits de speler minder dan twee uur heeft gespeeld; de eligibility en specifieke voorwaarden voor aankopen in de game hangen af van het beleid van Steam en of de ontwikkelaar restituties heeft ingeschakeld voor het betreffende item. De daadwerkelijke restitutiebeleid is onderworpen aan de regels en pagina-informatie die momenteel op Steam wordt weergegeven.</w:t>
      </w:r>
    </w:p>
    <w:p>
      <w:pPr>
        <w:pStyle w:val="Heading1"/>
        <w:keepLines w:val="0"/>
      </w:pPr>
      <w:r>
        <w:rPr>
          <w:rFonts w:ascii="Noto Sans" w:hAnsi="Noto Sans" w:eastAsia="Arial Unicode MS" w:cs="Noto Sans"/>
          <w:b w:val="0"/>
        </w:rPr>
        <w:t>6.3 Google Play (indien toekomstige integratie plaatsvindt)</w:t>
      </w:r>
    </w:p>
    <w:p>
      <w:pPr>
        <w:keepLines w:val="0"/>
      </w:pPr>
      <w:r>
        <w:rPr>
          <w:rFonts w:ascii="Noto Sans" w:hAnsi="Noto Sans" w:eastAsia="Arial Unicode MS" w:cs="Noto Sans"/>
          <w:b w:val="0"/>
        </w:rPr>
        <w:t>Mochten er toekomstig aankopen in de app worden aangeboden via Google Play, dan zullen dergelijke restituties onderworpen zijn aan het restitutiebeleid van Google Play. Google Play kan restitutieaanvragen toestaan voor bepaalde apps, games of aankopen in de app binnen 48 uur na aankoop; na deze periode kunnen gebruikers mogelijk direct contact moeten opnemen met de ontwikkelaar. Specifieke voorwaarden en bepalingen worden beheerst door het dan geldende beleid van Google Play en toepasselijk recht.</w:t>
      </w:r>
    </w:p>
    <w:p>
      <w:pPr>
        <w:pStyle w:val="Heading1"/>
        <w:keepLines w:val="0"/>
      </w:pPr>
      <w:r>
        <w:rPr>
          <w:rFonts w:ascii="Noto Sans" w:hAnsi="Noto Sans" w:eastAsia="Arial Unicode MS" w:cs="Noto Sans"/>
          <w:b w:val="0"/>
        </w:rPr>
        <w:t>6.4 Bestellingen op platforms en bestellingen op de officiële website zijn verschillend</w:t>
      </w:r>
    </w:p>
    <w:p>
      <w:pPr>
        <w:keepLines w:val="0"/>
      </w:pPr>
      <w:r>
        <w:rPr>
          <w:rFonts w:ascii="Noto Sans" w:hAnsi="Noto Sans" w:eastAsia="Arial Unicode MS" w:cs="Noto Sans"/>
          <w:b w:val="0"/>
        </w:rPr>
        <w:t>Elk betalings- en distributiekanaal handhaaft zijn eigen ordernummer en settlementsysteem. De klantenservice van de officiële website kan Apple, Steam of Google niet vervangen bij het nemen van platform-side restitutiebeslissingen regarding bestellingen op hun respectievelijke platforms; echter, wij zullen noodzakelijke assistentie bieden - zoals leveringsstatus, consumptiestatus en technische verificatie - binnen het kader van wettelijke en platformregels.</w:t>
      </w:r>
    </w:p>
    <w:p>
      <w:pPr>
        <w:pStyle w:val="Heading1"/>
        <w:keepLines w:val="0"/>
      </w:pPr>
      <w:r>
        <w:rPr>
          <w:rFonts w:ascii="Noto Sans" w:hAnsi="Noto Sans" w:eastAsia="Arial Unicode MS" w:cs="Noto Sans"/>
          <w:b w:val="0"/>
        </w:rPr>
        <w:t>7. Minderjarigen en ongeautoriseerde aankopen</w:t>
      </w:r>
    </w:p>
    <w:p>
      <w:pPr>
        <w:keepLines w:val="0"/>
      </w:pPr>
      <w:r>
        <w:rPr>
          <w:rFonts w:ascii="Noto Sans" w:hAnsi="Noto Sans" w:eastAsia="Arial Unicode MS" w:cs="Noto Sans"/>
          <w:b w:val="0"/>
        </w:rPr>
        <w:t>De dienst is bedoeld voor volwassenen van 18 jaar of ouder. Een voogd kan een beoordeling aanvragen van een aankoop gedaan door een minderjarige zonder geldige toestemming of autorisatie. We beoordelen de wet, juridische bekwaamheid, orderbewijs, voogdij, platformregels en daadwerkelijk gebruik. Het gerelateerde spelaccount gaat alleen naar een permanente beperking van de spel-service nadat de minderjarige-aankoop is geverifieerd, een volledige of aanzienlijk volledige restitutie is goedgekeurd en die restitutie daadwerkelijk is voltooid. Een aanvraag, in behandeling zijnde, gedeeltelijke restitutie of gewone restitutie trigger dit niet.</w:t>
      </w:r>
    </w:p>
    <w:p>
      <w:pPr>
        <w:pStyle w:val="Heading1"/>
        <w:keepLines w:val="0"/>
      </w:pPr>
      <w:r>
        <w:rPr>
          <w:rFonts w:ascii="Noto Sans" w:hAnsi="Noto Sans" w:eastAsia="Arial Unicode MS" w:cs="Noto Sans"/>
          <w:b w:val="0"/>
        </w:rPr>
        <w:t>7.1 Aanvraagdossiers en beginsel van minimale noodzaak</w:t>
      </w:r>
    </w:p>
    <w:p>
      <w:pPr>
        <w:keepLines w:val="0"/>
      </w:pPr>
      <w:r>
        <w:rPr>
          <w:rFonts w:ascii="Noto Sans" w:hAnsi="Noto Sans" w:eastAsia="Arial Unicode MS" w:cs="Noto Sans"/>
          <w:b w:val="0"/>
        </w:rPr>
        <w:t>We kunnen noodzakelijke materialen vragen om bestellingen, accounts, leeftijd van minderjarigen, voogdijrelaties en ongeautoriseerde feiten te verifiëren. Gebruikers kunnen gevoelige informatie verbergen of verwerken die irrelevant is voor het verificatiedoel. We zullen geen onredelijk complete ID-nummers of ID-foto's gedurende een langere periode bewaren in verband met het verwerken van restituties voor minderjarigen.</w:t>
      </w:r>
    </w:p>
    <w:p>
      <w:pPr>
        <w:pStyle w:val="Heading1"/>
        <w:keepLines w:val="0"/>
      </w:pPr>
      <w:r>
        <w:rPr>
          <w:rFonts w:ascii="Noto Sans" w:hAnsi="Noto Sans" w:eastAsia="Arial Unicode MS" w:cs="Noto Sans"/>
          <w:b w:val="0"/>
        </w:rPr>
        <w:t>7.2 Er is geen vast terugbetalingsplafond van 70% ingesteld</w:t>
      </w:r>
    </w:p>
    <w:p>
      <w:pPr>
        <w:keepLines w:val="0"/>
      </w:pPr>
      <w:r>
        <w:rPr>
          <w:rFonts w:ascii="Noto Sans" w:hAnsi="Noto Sans" w:eastAsia="Arial Unicode MS" w:cs="Noto Sans"/>
          <w:b w:val="0"/>
        </w:rPr>
        <w:t>Teruggaven voor kleine aankopen hebben geen vaste plafond van 70% of automatische aftrek voor platformcommissies. Goedgekeurde teruggaven gebruiken de oorspronkelijke transactievaluta en het werkelijk betaalde bedrag, zonder herberekening tegen het koers op de dag van teruggave. De daaropvolgende beperking van het spelaccount vermindert geen enig wettelijk goedgekeurd teruggavebedrag.</w:t>
      </w:r>
    </w:p>
    <w:p>
      <w:pPr>
        <w:pStyle w:val="Heading1"/>
        <w:keepLines w:val="0"/>
      </w:pPr>
      <w:r>
        <w:rPr>
          <w:rFonts w:ascii="Noto Sans" w:hAnsi="Noto Sans" w:eastAsia="Arial Unicode MS" w:cs="Noto Sans"/>
          <w:b w:val="0"/>
        </w:rPr>
        <w:t>7.3 Regio Mainland China</w:t>
      </w:r>
    </w:p>
    <w:p>
      <w:pPr>
        <w:keepLines w:val="0"/>
      </w:pPr>
      <w:r>
        <w:rPr>
          <w:rFonts w:ascii="Noto Sans" w:hAnsi="Noto Sans" w:eastAsia="Arial Unicode MS" w:cs="Noto Sans"/>
          <w:b w:val="0"/>
        </w:rPr>
        <w:t>Geschillen met betrekking tot consumptie door minderjarigen in vasteland-China zullen worden afgehandeld overeenkomstig het Burgerlijk Wetboek, consumentenbeschermingsreguleringen, eisen voor online bescherming van minderjarigen in games en juridische praktijken. In gevallen waarin kan worden bewezen dat de persoon een minderjarige is die aankopen heeft gedaan zonder toestemming van een voogd en wiens uitgaven aanzienlijk hoger zijn dan hun leeftijd en cognitieve vermogen, zullen we samenwerken met wettelijke maatregelen zoals vereist door de wet. In gevallen waarin voogden falen in het goed beheer van betalingsinstrumenten, accounts delen of langdurige nalatigheid vertonen, kan dit gedrag worden beschouwd als binnen het bereik van aansprakelijkheidsevaluatie.</w:t>
      </w:r>
    </w:p>
    <w:p>
      <w:pPr>
        <w:pStyle w:val="Heading1"/>
        <w:keepLines w:val="0"/>
      </w:pPr>
      <w:r>
        <w:rPr>
          <w:rFonts w:ascii="Noto Sans" w:hAnsi="Noto Sans" w:eastAsia="Arial Unicode MS" w:cs="Noto Sans"/>
          <w:b w:val="0"/>
        </w:rPr>
        <w:t>7.4 Verenigde Staten en Japan</w:t>
      </w:r>
    </w:p>
    <w:p>
      <w:pPr>
        <w:keepLines w:val="0"/>
      </w:pPr>
      <w:r>
        <w:rPr>
          <w:rFonts w:ascii="Noto Sans" w:hAnsi="Noto Sans" w:eastAsia="Arial Unicode MS" w:cs="Noto Sans"/>
          <w:b w:val="0"/>
        </w:rPr>
        <w:t>Aankopen gedaan door Amerikaanse gebruikers zonder autorisatie of door foutieve aankopen van familieleden zullen worden afgehandeld overeenkomstig de regels van het betaalplatform, toepasselijke staatswetten en federale consumentenbeschermingsreguleringen. In de Japanse regio worden personen van 18 jaar en ouder als volwassenen beschouwd; contracten aangegaan door personen onder de 18 jaar zonder toestemming van een wettelijke voogd, en daarmee verbonden herroepingsrechten, worden beheerst door het Japanse Burgerlijk Wetboek en consumentenbeschermingsreguleringen.</w:t>
      </w:r>
    </w:p>
    <w:p>
      <w:pPr>
        <w:pStyle w:val="Heading1"/>
        <w:keepLines w:val="0"/>
      </w:pPr>
      <w:r>
        <w:rPr>
          <w:rFonts w:ascii="Noto Sans" w:hAnsi="Noto Sans" w:eastAsia="Arial Unicode MS" w:cs="Noto Sans"/>
          <w:b w:val="0"/>
        </w:rPr>
        <w:t>8. Ongeautoriseerde betalingen, frauduleuze transacties en geschillen (chargebacks)</w:t>
      </w:r>
    </w:p>
    <w:p>
      <w:pPr>
        <w:keepLines w:val="0"/>
      </w:pPr>
      <w:r>
        <w:rPr>
          <w:rFonts w:ascii="Noto Sans" w:hAnsi="Noto Sans" w:eastAsia="Arial Unicode MS" w:cs="Noto Sans"/>
          <w:b w:val="0"/>
        </w:rPr>
        <w:t>Als u verdachte ongeautoriseerde transacties, ongeautoriseerde betalingen of ongeautoriseerd gebruik van uw betaalaccount ontdekt, neem dan onmiddellijk contact op met de betaalprovider en de klantenservice van DAWNBLOOM, en lever het ordernummer en eventuele relevante details in. Voor bestellingen geplaatst via derde partijen zoals bankkaarten, Apple, Google of Steam, moet u ook een geschil indienen volgens de door het betreffende betaalnetwerk of platform gespecificeerde termijnen.</w:t>
      </w:r>
    </w:p>
    <w:p>
      <w:pPr>
        <w:keepLines w:val="0"/>
      </w:pPr>
      <w:r>
        <w:rPr>
          <w:rFonts w:ascii="Noto Sans" w:hAnsi="Noto Sans" w:eastAsia="Arial Unicode MS" w:cs="Noto Sans"/>
          <w:b w:val="0"/>
        </w:rPr>
      </w:r>
    </w:p>
    <w:p>
      <w:pPr>
        <w:keepLines w:val="0"/>
      </w:pPr>
      <w:r>
        <w:rPr>
          <w:rFonts w:ascii="Noto Sans" w:hAnsi="Noto Sans" w:eastAsia="Arial Unicode MS" w:cs="Noto Sans"/>
          <w:b w:val="0"/>
        </w:rPr>
        <w:t>@dawnbloom.net</w:t>
      </w:r>
    </w:p>
    <w:p>
      <w:pPr>
        <w:keepLines w:val="0"/>
      </w:pPr>
      <w:hyperlink r:id="rId13">
        <w:r>
          <w:rPr>
            <w:rFonts w:ascii="Noto Sans" w:hAnsi="Noto Sans" w:eastAsia="Arial Unicode MS"/>
            <w:b w:val="0"/>
          </w:rPr>
          <w:t xml:space="preserve">https://www.dawnbloom.net/support</w:t>
        </w:r>
      </w:hyperlink>
    </w:p>
    <w:p>
      <w:pPr>
        <w:keepLines w:val="0"/>
      </w:pPr>
      <w:r>
        <w:rPr>
          <w:rFonts w:ascii="Noto Sans" w:hAnsi="Noto Sans" w:eastAsia="Arial Unicode MS" w:cs="Noto Sans"/>
          <w:b w:val="0"/>
        </w:rPr>
      </w:r>
    </w:p>
    <w:p>
      <w:pPr>
        <w:keepLines w:val="0"/>
      </w:pPr>
      <w:r>
        <w:rPr>
          <w:rFonts w:ascii="Noto Sans" w:hAnsi="Noto Sans" w:eastAsia="Arial Unicode MS" w:cs="Noto Sans"/>
          <w:b w:val="0"/>
        </w:rPr>
        <w:t>SHANGHAI LUMIREALM CREATIVE MEDIA CO., LTD.</w:t>
      </w:r>
    </w:p>
    <w:p>
      <w:pPr>
        <w:keepLines w:val="0"/>
      </w:pPr>
      <w:r>
        <w:rPr>
          <w:rFonts w:ascii="Noto Sans" w:hAnsi="Noto Sans" w:eastAsia="Arial Unicode MS" w:cs="Noto Sans"/>
          <w:b w:val="0"/>
        </w:rPr>
        <w:t>Een te goeder trouw ingediend verzoek om terugbetaling of een echte betalingsgeschil is op zich geen grond voor straf in het spel. Rechten gekoppeld aan een betwiste bestelling kunnen tijdens het onderzoek worden beschermd. Alleen de geverifieerde en voltooide volledig of substantieel volledige terugbetaling met betrekking tot minderjarigen, zoals beschreven in Sectie 7, activeert zijn aparte beperking van de spelservice; andere terugbetalingen veroorzaken niet automatisch een permanente ban.</w:t>
      </w:r>
    </w:p>
    <w:p>
      <w:pPr>
        <w:keepLines w:val="0"/>
      </w:pPr>
      <w:r>
        <w:rPr>
          <w:rFonts w:ascii="Noto Sans" w:hAnsi="Noto Sans" w:eastAsia="Arial Unicode MS" w:cs="Noto Sans"/>
          <w:b w:val="0"/>
        </w:rPr>
        <w:t>Indien bewijs aantoont dat er sprake is van opzettelijk niet-betalen, aankopen met zwarte kaarten, overdracht/opname van virtuele activa na restitutie, fraude op basis van collusie of ander misbruik van het restitutiemechanisme, zal dergelijk gedrag worden behandeld overeenkomstig de "Spelersregels &amp; Handhavingsbeleid," en behoudt het bedrijf zich het recht voor om juridische stappen te ondernemen, transactiebeperkingen op te leggen en de gebruiker aansprakelijk te stellen voor de daaruit voortvloeiende juridische verantwoordelijkheden.</w:t>
      </w:r>
    </w:p>
    <w:p>
      <w:pPr>
        <w:pStyle w:val="Heading1"/>
        <w:keepLines w:val="0"/>
      </w:pPr>
      <w:r>
        <w:rPr>
          <w:rFonts w:ascii="Noto Sans" w:hAnsi="Noto Sans" w:eastAsia="Arial Unicode MS" w:cs="Noto Sans"/>
          <w:b w:val="0"/>
        </w:rPr>
        <w:t>9. Terugvordering van virtuele rechten en aanpassing van gegevens na terugbetaling</w:t>
      </w:r>
    </w:p>
    <w:p>
      <w:pPr>
        <w:keepLines w:val="0"/>
      </w:pPr>
      <w:r>
        <w:rPr>
          <w:rFonts w:ascii="Noto Sans" w:hAnsi="Noto Sans" w:eastAsia="Arial Unicode MS" w:cs="Noto Sans"/>
          <w:b w:val="0"/>
        </w:rPr>
        <w:t>Bij volledige of gedeeltelijke restitutie, annulering, afwijzing van betaling of omkering van een transactie, behoudt de exploitant zich het recht voor om overeenkomstige digitale rechten in te trekken binnen de door de wet en platformregels toegestane grenzen, om te voorkomen dat gebruikers zowel het gerestitueerde bedrag als de equivalente digitale goederen behouden.</w:t>
      </w:r>
    </w:p>
    <w:p>
      <w:pPr>
        <w:pStyle w:val="ListBullet"/>
        <w:keepLines w:val="0"/>
      </w:pPr>
      <w:r>
        <w:rPr>
          <w:rFonts w:ascii="Noto Sans" w:hAnsi="Noto Sans" w:eastAsia="Arial Unicode MS" w:cs="Noto Sans"/>
          <w:b w:val="0"/>
        </w:rPr>
        <w:t>Niet geopende of ongebruikte kisten of items kunnen direct worden teruggewonnen van het aankoopaccount;</w:t>
      </w:r>
    </w:p>
    <w:p>
      <w:pPr>
        <w:pStyle w:val="ListBullet"/>
        <w:keepLines w:val="0"/>
      </w:pPr>
      <w:r>
        <w:rPr>
          <w:rFonts w:ascii="Noto Sans" w:hAnsi="Noto Sans" w:eastAsia="Arial Unicode MS" w:cs="Noto Sans"/>
          <w:b w:val="0"/>
        </w:rPr>
        <w:t>Items die zijn uitgewisseld of omgezet in andere virtuele items, valuta's, attributen of diensten, kunnen hun direct identificeerbare derivaten terugvorderen;</w:t>
      </w:r>
    </w:p>
    <w:p>
      <w:pPr>
        <w:pStyle w:val="ListBullet"/>
        <w:keepLines w:val="0"/>
      </w:pPr>
      <w:r>
        <w:rPr>
          <w:rFonts w:ascii="Noto Sans" w:hAnsi="Noto Sans" w:eastAsia="Arial Unicode MS" w:cs="Noto Sans"/>
          <w:b w:val="0"/>
        </w:rPr>
        <w:t>Als een direct afgeleid item al is verbruikt of een complexe overdracht inhoudt, kan er equivalent herstel worden toegepast op basis van verifieerbare werkelijke waarde, bevriezing van bijbehorende items, beperking van gerelateerde transacties, of aanpassing van overeenkomstige waarden;</w:t>
      </w:r>
    </w:p>
    <w:p>
      <w:pPr>
        <w:pStyle w:val="ListBullet"/>
        <w:keepLines w:val="0"/>
      </w:pPr>
      <w:r>
        <w:rPr>
          <w:rFonts w:ascii="Noto Sans" w:hAnsi="Noto Sans" w:eastAsia="Arial Unicode MS" w:cs="Noto Sans"/>
          <w:b w:val="0"/>
        </w:rPr>
        <w:t>Voor onschuldige spelers van derden die geen bewijs hebben van betrokkenheid bij fraude en wier transacties niets te maken hebben met restitutiebestellingen, zullen geen straffen worden opgelegd alleen omdat zij normale transactieitems hebben ontvangen; echter, abnormale transactieketens, gekopieerde items of winst uit fraude kunnen afzonderlijk worden onderzocht overeenkomstig de „Spelersregels &amp; Handhavingsbeleid."</w:t>
      </w:r>
    </w:p>
    <w:p>
      <w:pPr>
        <w:keepLines w:val="0"/>
      </w:pPr>
      <w:r>
        <w:rPr>
          <w:rFonts w:ascii="Noto Sans" w:hAnsi="Noto Sans" w:eastAsia="Arial Unicode MS" w:cs="Noto Sans"/>
          <w:b w:val="0"/>
        </w:rPr>
        <w:t>," en afzonderlijk onderzocht. Het intrekken van rechten betreft de gerestitueerde bestelling en traceerbare gerelateerde opbrengsten, zonder de wettelijk verschuldigde restituties te verminderen. Na voltooiing van de kleine restitutie beschreven in Afdeling 7, ontvangt het gerelateerde game-account ook een permanente dienstbeperking om verdere aankopen, virtuele handel en gerelateerde geschillen te voorkomen. Andere DAWNBLOOM Account-apps worden niet automatisch beperkt.</w:t>
      </w:r>
    </w:p>
    <w:p>
      <w:pPr>
        <w:pStyle w:val="Heading1"/>
        <w:keepLines w:val="0"/>
      </w:pPr>
      <w:r>
        <w:rPr>
          <w:rFonts w:ascii="Noto Sans" w:hAnsi="Noto Sans" w:eastAsia="Arial Unicode MS" w:cs="Noto Sans"/>
          <w:b w:val="0"/>
        </w:rPr>
        <w:t>10. Proces voor het indienen van een terugbetalingsaanvraag op de officiële website</w:t>
      </w:r>
    </w:p>
    <w:p>
      <w:pPr>
        <w:keepLines w:val="0"/>
      </w:pPr>
      <w:r>
        <w:rPr>
          <w:rFonts w:ascii="Noto Sans" w:hAnsi="Noto Sans" w:eastAsia="Arial Unicode MS" w:cs="Noto Sans"/>
          <w:b w:val="0"/>
        </w:rPr>
        <w:t>DAWNBLOOM Fairy kan toelichting geven op officiële toegangspunten voor bestellingen, terugbetalingen en bezwaren; een AI-antwoord vormt geen totstandkoming van een bestelling, goedkeuring van een terugbetaling, herstel van bezittingen of resultaat van een aanvullende levering. Zaken over specifieke bestellingen en betaalinformatie moeten door de betrokkene zelf via formele verificatie en beoordeling door de klantenservice worden afgehandeld. De daadwerkelijke uitkomst en wettelijke terugbetalingsrechten blijven worden bepaald door de oorspronkelijke regels van dit document en de toepasselijke wetgeving.</w:t>
      </w:r>
    </w:p>
    <w:p>
      <w:pPr>
        <w:pStyle w:val="Heading1"/>
        <w:keepLines w:val="0"/>
      </w:pPr>
      <w:r>
        <w:rPr>
          <w:rFonts w:ascii="Noto Sans" w:hAnsi="Noto Sans" w:eastAsia="Arial Unicode MS" w:cs="Noto Sans"/>
          <w:b w:val="0"/>
        </w:rPr>
        <w:t>10.1 Aanvraakkanaal</w:t>
      </w:r>
    </w:p>
    <w:p>
      <w:pPr>
        <w:keepLines w:val="0"/>
      </w:pPr>
      <w:r>
        <w:rPr>
          <w:rFonts w:ascii="Noto Sans" w:hAnsi="Noto Sans" w:eastAsia="Arial Unicode MS" w:cs="Noto Sans"/>
          <w:b w:val="0"/>
        </w:rPr>
        <w:t xml:space="preserve">Voor bestellingen geplaatst op de officiële website moeten betalings-, factureringsvragen en restitutieverzoeken worden ingediend bij </w:t>
      </w:r>
      <w:hyperlink r:id="rId14">
        <w:r>
          <w:rPr>
            <w:rFonts w:ascii="Noto Sans" w:hAnsi="Noto Sans" w:eastAsia="Arial Unicode MS"/>
            <w:b w:val="0"/>
          </w:rPr>
          <w:t xml:space="preserve">billing@dawnbloom.net</w:t>
        </w:r>
      </w:hyperlink>
      <w:r>
        <w:rPr>
          <w:rFonts w:ascii="Noto Sans" w:hAnsi="Noto Sans" w:eastAsia="Arial Unicode MS" w:cs="Noto Sans"/>
          <w:b w:val="0"/>
        </w:rPr>
        <w:t xml:space="preserve">; algemene vragen kunnen worden gericht aan </w:t>
      </w:r>
      <w:hyperlink r:id="rId12">
        <w:r>
          <w:rPr>
            <w:rFonts w:ascii="Noto Sans" w:hAnsi="Noto Sans" w:eastAsia="Arial Unicode MS"/>
            <w:b w:val="0"/>
          </w:rPr>
          <w:t xml:space="preserve">support@dawnbloom.net</w:t>
        </w:r>
      </w:hyperlink>
      <w:r>
        <w:rPr>
          <w:rFonts w:ascii="Noto Sans" w:hAnsi="Noto Sans" w:eastAsia="Arial Unicode MS" w:cs="Noto Sans"/>
          <w:b w:val="0"/>
        </w:rPr>
        <w:t xml:space="preserve">. Voor bestellingen geplaatst via platforms van derden, indien het platform een specifieke terugbetalingsingang biedt, dienen gebruikers prioriteit te geven aan het gebruik van dat specifieke kanaal.</w:t>
      </w:r>
    </w:p>
    <w:p>
      <w:pPr>
        <w:pStyle w:val="Heading1"/>
        <w:keepLines w:val="0"/>
      </w:pPr>
      <w:r>
        <w:rPr>
          <w:rFonts w:ascii="Noto Sans" w:hAnsi="Noto Sans" w:eastAsia="Arial Unicode MS" w:cs="Noto Sans"/>
          <w:b w:val="0"/>
        </w:rPr>
        <w:t>10.2 Aanbevolen informatie om te verstrekken</w:t>
      </w:r>
    </w:p>
    <w:p>
      <w:pPr>
        <w:pStyle w:val="ListBullet"/>
        <w:keepLines w:val="0"/>
      </w:pPr>
      <w:r>
        <w:rPr>
          <w:rFonts w:ascii="Noto Sans" w:hAnsi="Noto Sans" w:eastAsia="Arial Unicode MS" w:cs="Noto Sans"/>
          <w:b w:val="0"/>
        </w:rPr>
        <w:t>DAWNBLOOM-account of enige noodzakelijke accountidentificatie voor orderlokaliseren;</w:t>
      </w:r>
    </w:p>
    <w:p>
      <w:pPr>
        <w:pStyle w:val="ListBullet"/>
        <w:keepLines w:val="0"/>
      </w:pPr>
      <w:r>
        <w:rPr>
          <w:rFonts w:ascii="Noto Sans" w:hAnsi="Noto Sans" w:eastAsia="Arial Unicode MS" w:cs="Noto Sans"/>
          <w:b w:val="0"/>
        </w:rPr>
        <w:t>Bestelnummer, aankoopdatum, productnaam en betalingskanaal;</w:t>
      </w:r>
    </w:p>
    <w:p>
      <w:pPr>
        <w:pStyle w:val="ListBullet"/>
        <w:keepLines w:val="0"/>
      </w:pPr>
      <w:r>
        <w:rPr>
          <w:rFonts w:ascii="Noto Sans" w:hAnsi="Noto Sans" w:eastAsia="Arial Unicode MS" w:cs="Noto Sans"/>
          <w:b w:val="0"/>
        </w:rPr>
        <w:t>Reden van restitutie, samen met relevante screenshots of betalingsbewijs (indien beschikbaar);</w:t>
      </w:r>
    </w:p>
    <w:p>
      <w:pPr>
        <w:pStyle w:val="ListBullet"/>
        <w:keepLines w:val="0"/>
      </w:pPr>
      <w:r>
        <w:rPr>
          <w:rFonts w:ascii="Noto Sans" w:hAnsi="Noto Sans" w:eastAsia="Arial Unicode MS" w:cs="Noto Sans"/>
          <w:b w:val="0"/>
        </w:rPr>
        <w:t>Voor een claim met betrekking tot een minderjarige moet de voogd uitsluitend de informatie verstrekken die nodig is om leeftijd, voogdij, orders en het ontbreken van autorisatie te verifiëren. Geef voorafgaand aan de indiening duidelijk aan dat een goedgekeurde en voltooide volledige of grotendeels volledige restitutie de normale gameservice voor het betreffende account permanent beëindigt; gewone gameplay kan dit niet herstellen. Dit vermindert de goedgekeurde restitutie niet.</w:t>
      </w:r>
    </w:p>
    <w:p>
      <w:pPr>
        <w:pStyle w:val="ListBullet"/>
        <w:keepLines w:val="0"/>
      </w:pPr>
      <w:r>
        <w:rPr>
          <w:rFonts w:ascii="Noto Sans" w:hAnsi="Noto Sans" w:eastAsia="Arial Unicode MS" w:cs="Noto Sans"/>
          <w:b w:val="0"/>
        </w:rPr>
        <w:t>Elke aanvullende minimale en redelijke informatie die door de klantenservice wordt aangevraagd.</w:t>
      </w:r>
    </w:p>
    <w:p>
      <w:pPr>
        <w:pStyle w:val="Heading1"/>
        <w:keepLines w:val="0"/>
      </w:pPr>
      <w:r>
        <w:rPr>
          <w:rFonts w:ascii="Noto Sans" w:hAnsi="Noto Sans" w:eastAsia="Arial Unicode MS" w:cs="Noto Sans"/>
          <w:b w:val="0"/>
        </w:rPr>
        <w:t>10.3 Beoordelingsperiode</w:t>
      </w:r>
    </w:p>
    <w:p>
      <w:pPr>
        <w:keepLines w:val="0"/>
      </w:pPr>
      <w:r>
        <w:rPr>
          <w:rFonts w:ascii="Noto Sans" w:hAnsi="Noto Sans" w:eastAsia="Arial Unicode MS" w:cs="Noto Sans"/>
          <w:b w:val="0"/>
        </w:rPr>
        <w:t>Onder normale omstandigheden zullen we, wanneer de vereiste documenten grotendeels compleet zijn, binnen 10 werkdagen het eerste onderzoek voltooien of enige aanvullende informatie die nodig is melden. Cases die complexe accountdiefstal, minderjarigen, cross-platform activiteiten, weigering om te betalen, of abnormale transacties omvatten, kunnen een langere verwerkingsperiode vereisen. De definitieve settlementdatum wordt bepaald door de betalingsinstelling, bank of platform.</w:t>
      </w:r>
    </w:p>
    <w:p>
      <w:pPr>
        <w:pStyle w:val="Heading1"/>
        <w:keepLines w:val="0"/>
      </w:pPr>
      <w:r>
        <w:rPr>
          <w:rFonts w:ascii="Noto Sans" w:hAnsi="Noto Sans" w:eastAsia="Arial Unicode MS" w:cs="Noto Sans"/>
          <w:b w:val="0"/>
        </w:rPr>
        <w:t>10.4 Retourpad</w:t>
      </w:r>
    </w:p>
    <w:p>
      <w:pPr>
        <w:keepLines w:val="0"/>
      </w:pPr>
      <w:r>
        <w:rPr>
          <w:rFonts w:ascii="Noto Sans" w:hAnsi="Noto Sans" w:eastAsia="Arial Unicode MS" w:cs="Noto Sans"/>
          <w:b w:val="0"/>
        </w:rPr>
        <w:t>Website-restituties keren normaal gesproken terug via de oorspronkelijke betalingsroute in de oorspronkelijke transactievaluta. Als wetgeving, platformregels of betalingstechnologie dit verhinderen, verifiëren we de bestelling en leggen we een wettelijk alternatief en eventuele conversie uit. We berekenen de restitutieprincipal niet stilletjes opnieuw met de website-referentietarief op de restitutiedatum. Derde-partij platforms behandelen hun eigen bestellingen onder hun regels.</w:t>
      </w:r>
    </w:p>
    <w:p>
      <w:pPr>
        <w:pStyle w:val="Heading1"/>
        <w:keepLines w:val="0"/>
      </w:pPr>
      <w:r>
        <w:rPr>
          <w:rFonts w:ascii="Noto Sans" w:hAnsi="Noto Sans" w:eastAsia="Arial Unicode MS" w:cs="Noto Sans"/>
          <w:b w:val="0"/>
        </w:rPr>
        <w:t>11. Terugbetalingsbedrag, kortingen en gedeeltelijke terugbetalingen</w:t>
      </w:r>
    </w:p>
    <w:p>
      <w:pPr>
        <w:keepLines w:val="0"/>
      </w:pPr>
      <w:r>
        <w:rPr>
          <w:rFonts w:ascii="Noto Sans" w:hAnsi="Noto Sans" w:eastAsia="Arial Unicode MS" w:cs="Noto Sans"/>
          <w:b w:val="0"/>
        </w:rPr>
        <w:t>Een volledige restitutie is gebaseerd op de oorspronkelijke transactievaluta en het werkelijk betaalde bedrag, niet op de ongekorte lijstprijs of een latere CNY-prijs. Een website-bestelling betaald bij USD 50,11 wordt dus doorgaans gerestitueerd bij USD 50,11. Een gedeeltelijke restitutie wordt berekend vanuit hetzelfde oorspronkelijke-valutabedrag en afgerond naar de minor-eenheid van die valuta, zonder round-trip CNY-conversie. Coupons, promotionele voordelen en apart vermelde belastingen volgen de bestelvoorwaarden, toepasselijke wetgeving en platformregels. Latere basisprijs- of koerswijzigingen herprijzen betaalde bestellingen nooit.</w:t>
      </w:r>
    </w:p>
    <w:p>
      <w:pPr>
        <w:keepLines w:val="0"/>
      </w:pPr>
      <w:r>
        <w:rPr>
          <w:rFonts w:ascii="Noto Sans" w:hAnsi="Noto Sans" w:eastAsia="Arial Unicode MS" w:cs="Noto Sans"/>
          <w:b w:val="0"/>
        </w:rPr>
        <w:t>Platformcommissies en betalingsverwerkingskosten zijn bedrijfskosten, geen automatische aftrek van de wettelijk restitueerbare producthoofdsom. Een platformcommissie van 30% legt geen vaste 70% consumententerugbetaling op. Onafhankelijk in rekening gebrachte derde-partijkosten die het recht toestaat, volgen de regels van de derde partij en zijn gescheiden van de productrestitutie.</w:t>
      </w:r>
    </w:p>
    <w:p>
      <w:pPr>
        <w:keepLines w:val="0"/>
      </w:pPr>
      <w:r>
        <w:rPr>
          <w:rFonts w:ascii="Noto Sans" w:hAnsi="Noto Sans" w:eastAsia="Arial Unicode MS" w:cs="Noto Sans"/>
          <w:b w:val="0"/>
        </w:rPr>
        <w:t>Kaartuitgevers, netwerken en betalingsproviders kunnen de aankoop en terugbetaling in de oorspronkelijke valuta omzetten naar de factuurvaluta van de kaarthouder op verschillende data en koersen. Zelfs na een volledige terugbetaling in de oorspronkelijke valuta kan het creditbedrag in de binnenlandse valuta van de kaart verschillen van het oorspronkelijke debet. De dagelijkse referentiecursus van de website compenseert dit verschil of deze kosten van derden niet, onder voorbehoud van eventuele wettelijke aansprakelijkheid van de exploitant.</w:t>
      </w:r>
    </w:p>
    <w:p>
      <w:pPr>
        <w:pStyle w:val="Heading1"/>
        <w:keepLines w:val="0"/>
      </w:pPr>
      <w:r>
        <w:rPr>
          <w:rFonts w:ascii="Noto Sans" w:hAnsi="Noto Sans" w:eastAsia="Arial Unicode MS" w:cs="Noto Sans"/>
          <w:b w:val="0"/>
        </w:rPr>
        <w:t>12. Richtlijnen voor veelvoorkomende scenario's</w:t>
      </w:r>
    </w:p>
    <w:tbl>
      <w:tblPr>
        <w:tblStyle w:val="TableGrid"/>
        <w:tblW w:type="auto" w:w="0"/>
        <w:tblLayout w:type="autofit"/>
        <w:tblLook w:firstColumn="1" w:firstRow="1" w:lastColumn="0" w:lastRow="0" w:noHBand="0" w:noVBand="1" w:val="04A0"/>
      </w:tblPr>
      <w:tblGrid>
        <w:gridCol w:w="3249"/>
        <w:gridCol w:w="3249"/>
        <w:gridCol w:w="3249"/>
      </w:tblGrid>
      <w:tr>
        <w:trPr>
          <w:cantSplit/>
          <w:tblHeader/>
        </w:trPr>
        <w:tc>
          <w:tcPr>
            <w:tcW w:type="dxa" w:w="3249"/>
            <w:vAlign w:val="center"/>
            <w:shd w:fill="DCE8F7"/>
          </w:tcPr>
          <w:p>
            <w:pPr>
              <w:keepNext/>
              <w:spacing w:after="40"/>
            </w:pPr>
            <w:r>
              <w:rPr>
                <w:rFonts w:ascii="Noto Sans" w:hAnsi="Noto Sans" w:eastAsia="Arial Unicode MS" w:cs="Noto Sans"/>
                <w:b/>
                <w:sz w:val="17"/>
              </w:rPr>
              <w:t>Scenario</w:t>
            </w:r>
          </w:p>
        </w:tc>
        <w:tc>
          <w:tcPr>
            <w:tcW w:type="dxa" w:w="3249"/>
            <w:vAlign w:val="center"/>
            <w:shd w:fill="DCE8F7"/>
          </w:tcPr>
          <w:p>
            <w:pPr>
              <w:keepNext/>
              <w:spacing w:after="40"/>
            </w:pPr>
            <w:r>
              <w:rPr>
                <w:rFonts w:ascii="Noto Sans" w:hAnsi="Noto Sans" w:eastAsia="Arial Unicode MS" w:cs="Noto Sans"/>
                <w:b/>
                <w:sz w:val="17"/>
              </w:rPr>
              <w:t>Algemene afhandeling</w:t>
            </w:r>
          </w:p>
        </w:tc>
        <w:tc>
          <w:tcPr>
            <w:tcW w:type="dxa" w:w="3249"/>
            <w:vAlign w:val="center"/>
            <w:shd w:fill="DCE8F7"/>
          </w:tcPr>
          <w:p>
            <w:pPr>
              <w:keepNext/>
              <w:spacing w:after="40"/>
            </w:pPr>
            <w:r>
              <w:rPr>
                <w:rFonts w:ascii="Noto Sans" w:hAnsi="Noto Sans" w:eastAsia="Arial Unicode MS" w:cs="Noto Sans"/>
                <w:b/>
                <w:sz w:val="17"/>
              </w:rPr>
              <w:t>Virtuele rechten</w:t>
            </w:r>
          </w:p>
        </w:tc>
      </w:tr>
      <w:tr>
        <w:trPr>
          <w:cantSplit/>
        </w:trPr>
        <w:tc>
          <w:tcPr>
            <w:tcW w:type="dxa" w:w="3249"/>
            <w:vAlign w:val="center"/>
          </w:tcPr>
          <w:p>
            <w:pPr>
              <w:spacing w:after="40"/>
            </w:pPr>
            <w:r>
              <w:rPr>
                <w:rFonts w:ascii="Noto Sans" w:hAnsi="Noto Sans" w:eastAsia="Arial Unicode MS" w:cs="Noto Sans"/>
                <w:sz w:val="17"/>
              </w:rPr>
              <w:t>Dubbele charge</w:t>
            </w:r>
          </w:p>
        </w:tc>
        <w:tc>
          <w:tcPr>
            <w:tcW w:type="dxa" w:w="3249"/>
            <w:vAlign w:val="center"/>
          </w:tcPr>
          <w:p>
            <w:pPr>
              <w:spacing w:after="40"/>
            </w:pPr>
            <w:r>
              <w:rPr>
                <w:rFonts w:ascii="Noto Sans" w:hAnsi="Noto Sans" w:eastAsia="Arial Unicode MS" w:cs="Noto Sans"/>
                <w:sz w:val="17"/>
              </w:rPr>
              <w:t>Verifieer en betaal de dubbele transactie terug.</w:t>
            </w:r>
          </w:p>
        </w:tc>
        <w:tc>
          <w:tcPr>
            <w:tcW w:type="dxa" w:w="3249"/>
            <w:vAlign w:val="center"/>
          </w:tcPr>
          <w:p>
            <w:pPr>
              <w:spacing w:after="40"/>
            </w:pPr>
            <w:r>
              <w:rPr>
                <w:rFonts w:ascii="Noto Sans" w:hAnsi="Noto Sans" w:eastAsia="Arial Unicode MS" w:cs="Noto Sans"/>
                <w:sz w:val="17"/>
              </w:rPr>
              <w:t>Keer de dubbele toewijzing om; behoud de geldige aankoop.</w:t>
            </w:r>
          </w:p>
        </w:tc>
      </w:tr>
      <w:tr>
        <w:trPr>
          <w:cantSplit/>
        </w:trPr>
        <w:tc>
          <w:tcPr>
            <w:tcW w:type="dxa" w:w="3249"/>
            <w:vAlign w:val="center"/>
          </w:tcPr>
          <w:p>
            <w:pPr>
              <w:spacing w:after="40"/>
            </w:pPr>
            <w:r>
              <w:rPr>
                <w:rFonts w:ascii="Noto Sans" w:hAnsi="Noto Sans" w:eastAsia="Arial Unicode MS" w:cs="Noto Sans"/>
                <w:sz w:val="17"/>
              </w:rPr>
              <w:t>Betaald maar niet geleverd</w:t>
            </w:r>
          </w:p>
        </w:tc>
        <w:tc>
          <w:tcPr>
            <w:tcW w:type="dxa" w:w="3249"/>
            <w:vAlign w:val="center"/>
          </w:tcPr>
          <w:p>
            <w:pPr>
              <w:spacing w:after="40"/>
            </w:pPr>
            <w:r>
              <w:rPr>
                <w:rFonts w:ascii="Noto Sans" w:hAnsi="Noto Sans" w:eastAsia="Arial Unicode MS" w:cs="Noto Sans"/>
                <w:sz w:val="17"/>
              </w:rPr>
              <w:t>Lever het item indien mogelijk; anders terugbetaling volgens de toepasselijke regels.</w:t>
            </w:r>
          </w:p>
        </w:tc>
        <w:tc>
          <w:tcPr>
            <w:tcW w:type="dxa" w:w="3249"/>
            <w:vAlign w:val="center"/>
          </w:tcPr>
          <w:p>
            <w:pPr>
              <w:spacing w:after="40"/>
            </w:pPr>
            <w:r>
              <w:rPr>
                <w:rFonts w:ascii="Noto Sans" w:hAnsi="Noto Sans" w:eastAsia="Arial Unicode MS" w:cs="Noto Sans"/>
                <w:sz w:val="17"/>
              </w:rPr>
              <w:t>Er is geen herstel nodig als er niets is toegekend.</w:t>
            </w:r>
          </w:p>
        </w:tc>
      </w:tr>
      <w:tr>
        <w:trPr>
          <w:cantSplit/>
        </w:trPr>
        <w:tc>
          <w:tcPr>
            <w:tcW w:type="dxa" w:w="3249"/>
            <w:vAlign w:val="center"/>
          </w:tcPr>
          <w:p>
            <w:pPr>
              <w:spacing w:after="40"/>
            </w:pPr>
            <w:r>
              <w:rPr>
                <w:rFonts w:ascii="Noto Sans" w:hAnsi="Noto Sans" w:eastAsia="Arial Unicode MS" w:cs="Noto Sans"/>
                <w:sz w:val="17"/>
              </w:rPr>
              <w:t>Ontevredenheid over een kistresultaat</w:t>
            </w:r>
          </w:p>
        </w:tc>
        <w:tc>
          <w:tcPr>
            <w:tcW w:type="dxa" w:w="3249"/>
            <w:vAlign w:val="center"/>
          </w:tcPr>
          <w:p>
            <w:pPr>
              <w:spacing w:after="40"/>
            </w:pPr>
            <w:r>
              <w:rPr>
                <w:rFonts w:ascii="Noto Sans" w:hAnsi="Noto Sans" w:eastAsia="Arial Unicode MS" w:cs="Noto Sans"/>
                <w:sz w:val="17"/>
              </w:rPr>
              <w:t>Meestal geen grond voor terugbetaling, onder voorbehoud van wettelijke rechten of een fout in de regels.</w:t>
            </w:r>
          </w:p>
        </w:tc>
        <w:tc>
          <w:tcPr>
            <w:tcW w:type="dxa" w:w="3249"/>
            <w:vAlign w:val="center"/>
          </w:tcPr>
          <w:p>
            <w:pPr>
              <w:spacing w:after="40"/>
            </w:pPr>
            <w:r>
              <w:rPr>
                <w:rFonts w:ascii="Noto Sans" w:hAnsi="Noto Sans" w:eastAsia="Arial Unicode MS" w:cs="Noto Sans"/>
                <w:sz w:val="17"/>
              </w:rPr>
              <w:t>Een geldig resultaat blijft normaal gesproken bestaan.</w:t>
            </w:r>
          </w:p>
        </w:tc>
      </w:tr>
      <w:tr>
        <w:trPr>
          <w:cantSplit/>
        </w:trPr>
        <w:tc>
          <w:tcPr>
            <w:tcW w:type="dxa" w:w="3249"/>
            <w:vAlign w:val="center"/>
          </w:tcPr>
          <w:p>
            <w:pPr>
              <w:spacing w:after="40"/>
            </w:pPr>
            <w:r>
              <w:rPr>
                <w:rFonts w:ascii="Noto Sans" w:hAnsi="Noto Sans" w:eastAsia="Arial Unicode MS" w:cs="Noto Sans"/>
                <w:sz w:val="17"/>
              </w:rPr>
              <w:t>Onjuist onthulde kansen of inhoud</w:t>
            </w:r>
          </w:p>
        </w:tc>
        <w:tc>
          <w:tcPr>
            <w:tcW w:type="dxa" w:w="3249"/>
            <w:vAlign w:val="center"/>
          </w:tcPr>
          <w:p>
            <w:pPr>
              <w:spacing w:after="40"/>
            </w:pPr>
            <w:r>
              <w:rPr>
                <w:rFonts w:ascii="Noto Sans" w:hAnsi="Noto Sans" w:eastAsia="Arial Unicode MS" w:cs="Noto Sans"/>
                <w:sz w:val="17"/>
              </w:rPr>
              <w:t>Onderzoek, corrigeer, compenseer of betaal terug zoals vereist.</w:t>
            </w:r>
          </w:p>
        </w:tc>
        <w:tc>
          <w:tcPr>
            <w:tcW w:type="dxa" w:w="3249"/>
            <w:vAlign w:val="center"/>
          </w:tcPr>
          <w:p>
            <w:pPr>
              <w:spacing w:after="40"/>
            </w:pPr>
            <w:r>
              <w:rPr>
                <w:rFonts w:ascii="Noto Sans" w:hAnsi="Noto Sans" w:eastAsia="Arial Unicode MS" w:cs="Noto Sans"/>
                <w:sz w:val="17"/>
              </w:rPr>
              <w:t>Pas de getroffen bestellingen en rechten aan.</w:t>
            </w:r>
          </w:p>
        </w:tc>
      </w:tr>
      <w:tr>
        <w:trPr>
          <w:cantSplit/>
        </w:trPr>
        <w:tc>
          <w:tcPr>
            <w:tcW w:type="dxa" w:w="3249"/>
            <w:vAlign w:val="center"/>
          </w:tcPr>
          <w:p>
            <w:pPr>
              <w:spacing w:after="40"/>
            </w:pPr>
            <w:r>
              <w:rPr>
                <w:rFonts w:ascii="Noto Sans" w:hAnsi="Noto Sans" w:eastAsia="Arial Unicode MS" w:cs="Noto Sans"/>
                <w:sz w:val="17"/>
              </w:rPr>
              <w:t>Ongebruikt digitaal item</w:t>
            </w:r>
          </w:p>
        </w:tc>
        <w:tc>
          <w:tcPr>
            <w:tcW w:type="dxa" w:w="3249"/>
            <w:vAlign w:val="center"/>
          </w:tcPr>
          <w:p>
            <w:pPr>
              <w:spacing w:after="40"/>
            </w:pPr>
            <w:r>
              <w:rPr>
                <w:rFonts w:ascii="Noto Sans" w:hAnsi="Noto Sans" w:eastAsia="Arial Unicode MS" w:cs="Noto Sans"/>
                <w:sz w:val="17"/>
              </w:rPr>
              <w:t>Een verzoek kan worden beoordeeld onder wetgeving en technische herstelbaarheid.</w:t>
            </w:r>
          </w:p>
        </w:tc>
        <w:tc>
          <w:tcPr>
            <w:tcW w:type="dxa" w:w="3249"/>
            <w:vAlign w:val="center"/>
          </w:tcPr>
          <w:p>
            <w:pPr>
              <w:spacing w:after="40"/>
            </w:pPr>
            <w:r>
              <w:rPr>
                <w:rFonts w:ascii="Noto Sans" w:hAnsi="Noto Sans" w:eastAsia="Arial Unicode MS" w:cs="Noto Sans"/>
                <w:sz w:val="17"/>
              </w:rPr>
              <w:t>Reversal van rechten gedekt door een terugbetaling.</w:t>
            </w:r>
          </w:p>
        </w:tc>
      </w:tr>
      <w:tr>
        <w:trPr>
          <w:cantSplit/>
        </w:trPr>
        <w:tc>
          <w:tcPr>
            <w:tcW w:type="dxa" w:w="3249"/>
            <w:vAlign w:val="center"/>
          </w:tcPr>
          <w:p>
            <w:pPr>
              <w:spacing w:after="40"/>
            </w:pPr>
            <w:r>
              <w:rPr>
                <w:rFonts w:ascii="Noto Sans" w:hAnsi="Noto Sans" w:eastAsia="Arial Unicode MS" w:cs="Noto Sans"/>
                <w:sz w:val="17"/>
              </w:rPr>
              <w:t>Wisselkoers veranderd voor een terugbetaling in vreemde valuta</w:t>
            </w:r>
          </w:p>
        </w:tc>
        <w:tc>
          <w:tcPr>
            <w:tcW w:type="dxa" w:w="3249"/>
            <w:vAlign w:val="center"/>
          </w:tcPr>
          <w:p>
            <w:pPr>
              <w:spacing w:after="40"/>
            </w:pPr>
            <w:r>
              <w:rPr>
                <w:rFonts w:ascii="Noto Sans" w:hAnsi="Noto Sans" w:eastAsia="Arial Unicode MS" w:cs="Noto Sans"/>
                <w:sz w:val="17"/>
              </w:rPr>
              <w:t>Gebruik de oorspronkelijke transactievaluta en het werkelijk betaalde bedrag; prijs niet opnieuw vaststellen op het koersniveau van de dag van terugbetaling.</w:t>
            </w:r>
          </w:p>
        </w:tc>
        <w:tc>
          <w:tcPr>
            <w:tcW w:type="dxa" w:w="3249"/>
            <w:vAlign w:val="center"/>
          </w:tcPr>
          <w:p>
            <w:pPr>
              <w:spacing w:after="40"/>
            </w:pPr>
            <w:r>
              <w:rPr>
                <w:rFonts w:ascii="Noto Sans" w:hAnsi="Noto Sans" w:eastAsia="Arial Unicode MS" w:cs="Noto Sans"/>
                <w:sz w:val="17"/>
              </w:rPr>
              <w:t>Pas rechten aan in de mate waarin is terugbetaald.</w:t>
            </w:r>
          </w:p>
        </w:tc>
      </w:tr>
      <w:tr>
        <w:trPr>
          <w:cantSplit/>
        </w:trPr>
        <w:tc>
          <w:tcPr>
            <w:tcW w:type="dxa" w:w="3249"/>
            <w:vAlign w:val="center"/>
          </w:tcPr>
          <w:p>
            <w:pPr>
              <w:spacing w:after="40"/>
            </w:pPr>
            <w:r>
              <w:rPr>
                <w:rFonts w:ascii="Noto Sans" w:hAnsi="Noto Sans" w:eastAsia="Arial Unicode MS" w:cs="Noto Sans"/>
                <w:sz w:val="17"/>
              </w:rPr>
              <w:t>Aankoop door minderjarige</w:t>
            </w:r>
          </w:p>
        </w:tc>
        <w:tc>
          <w:tcPr>
            <w:tcW w:type="dxa" w:w="3249"/>
            <w:vAlign w:val="center"/>
          </w:tcPr>
          <w:p>
            <w:pPr>
              <w:spacing w:after="40"/>
            </w:pPr>
            <w:r>
              <w:rPr>
                <w:rFonts w:ascii="Noto Sans" w:hAnsi="Noto Sans" w:eastAsia="Arial Unicode MS" w:cs="Noto Sans"/>
                <w:sz w:val="17"/>
              </w:rPr>
              <w:t>Beoordeel conform de wet. Na een goedgekeurd en voltooid volledige of grotendeels volledige terugbetaling, beperk het gerelateerde spelaccount permanent.</w:t>
            </w:r>
          </w:p>
        </w:tc>
        <w:tc>
          <w:tcPr>
            <w:tcW w:type="dxa" w:w="3249"/>
            <w:vAlign w:val="center"/>
          </w:tcPr>
          <w:p>
            <w:pPr>
              <w:spacing w:after="40"/>
            </w:pPr>
            <w:r>
              <w:rPr>
                <w:rFonts w:ascii="Noto Sans" w:hAnsi="Noto Sans" w:eastAsia="Arial Unicode MS" w:cs="Noto Sans"/>
                <w:sz w:val="17"/>
              </w:rPr>
              <w:t>Herstel gekoppelde rechten zonder de terugbetaling te verminderen; handmatige correctie blijft beschikbaar voor fouten.</w:t>
            </w:r>
          </w:p>
        </w:tc>
      </w:tr>
      <w:tr>
        <w:trPr>
          <w:cantSplit/>
        </w:trPr>
        <w:tc>
          <w:tcPr>
            <w:tcW w:type="dxa" w:w="3249"/>
            <w:vAlign w:val="center"/>
          </w:tcPr>
          <w:p>
            <w:pPr>
              <w:spacing w:after="40"/>
            </w:pPr>
            <w:r>
              <w:rPr>
                <w:rFonts w:ascii="Noto Sans" w:hAnsi="Noto Sans" w:eastAsia="Arial Unicode MS" w:cs="Noto Sans"/>
                <w:sz w:val="17"/>
              </w:rPr>
              <w:t>Bestelling via Apple, Google Play of Steam</w:t>
            </w:r>
          </w:p>
        </w:tc>
        <w:tc>
          <w:tcPr>
            <w:tcW w:type="dxa" w:w="3249"/>
            <w:vAlign w:val="center"/>
          </w:tcPr>
          <w:p>
            <w:pPr>
              <w:spacing w:after="40"/>
            </w:pPr>
            <w:r>
              <w:rPr>
                <w:rFonts w:ascii="Noto Sans" w:hAnsi="Noto Sans" w:eastAsia="Arial Unicode MS" w:cs="Noto Sans"/>
                <w:sz w:val="17"/>
              </w:rPr>
              <w:t>Platformregels en toepasselijk recht bepalen de eligibility, valuta, bedrag en route.</w:t>
            </w:r>
          </w:p>
        </w:tc>
        <w:tc>
          <w:tcPr>
            <w:tcW w:type="dxa" w:w="3249"/>
            <w:vAlign w:val="center"/>
          </w:tcPr>
          <w:p>
            <w:pPr>
              <w:spacing w:after="40"/>
            </w:pPr>
            <w:r>
              <w:rPr>
                <w:rFonts w:ascii="Noto Sans" w:hAnsi="Noto Sans" w:eastAsia="Arial Unicode MS" w:cs="Noto Sans"/>
                <w:sz w:val="17"/>
              </w:rPr>
              <w:t>Pas rechten aan op basis van een verifieerbaar terugbetalingsresultaat.</w:t>
            </w:r>
          </w:p>
        </w:tc>
      </w:tr>
      <w:tr>
        <w:trPr>
          <w:cantSplit/>
        </w:trPr>
        <w:tc>
          <w:tcPr>
            <w:tcW w:type="dxa" w:w="3249"/>
            <w:vAlign w:val="center"/>
          </w:tcPr>
          <w:p>
            <w:pPr>
              <w:spacing w:after="40"/>
            </w:pPr>
            <w:r>
              <w:rPr>
                <w:rFonts w:ascii="Noto Sans" w:hAnsi="Noto Sans" w:eastAsia="Arial Unicode MS" w:cs="Noto Sans"/>
                <w:sz w:val="17"/>
              </w:rPr>
              <w:t>Gestolen of ongeautoriseerde betaling</w:t>
            </w:r>
          </w:p>
        </w:tc>
        <w:tc>
          <w:tcPr>
            <w:tcW w:type="dxa" w:w="3249"/>
            <w:vAlign w:val="center"/>
          </w:tcPr>
          <w:p>
            <w:pPr>
              <w:spacing w:after="40"/>
            </w:pPr>
            <w:r>
              <w:rPr>
                <w:rFonts w:ascii="Noto Sans" w:hAnsi="Noto Sans" w:eastAsia="Arial Unicode MS" w:cs="Noto Sans"/>
                <w:sz w:val="17"/>
              </w:rPr>
              <w:t>Coöperatie met de betalingsprovider; classificeer dit niet automatisch als een minderjarigen-terugbetaling.</w:t>
            </w:r>
          </w:p>
        </w:tc>
        <w:tc>
          <w:tcPr>
            <w:tcW w:type="dxa" w:w="3249"/>
            <w:vAlign w:val="center"/>
          </w:tcPr>
          <w:p>
            <w:pPr>
              <w:spacing w:after="40"/>
            </w:pPr>
            <w:r>
              <w:rPr>
                <w:rFonts w:ascii="Noto Sans" w:hAnsi="Noto Sans" w:eastAsia="Arial Unicode MS" w:cs="Noto Sans"/>
                <w:sz w:val="17"/>
              </w:rPr>
              <w:t>Bescherm betwiste voordelen tijdens verificatie.</w:t>
            </w:r>
          </w:p>
        </w:tc>
      </w:tr>
      <w:tr>
        <w:trPr>
          <w:cantSplit/>
        </w:trPr>
        <w:tc>
          <w:tcPr>
            <w:tcW w:type="dxa" w:w="3249"/>
            <w:vAlign w:val="center"/>
          </w:tcPr>
          <w:p>
            <w:pPr>
              <w:spacing w:after="40"/>
            </w:pPr>
            <w:r>
              <w:rPr>
                <w:rFonts w:ascii="Noto Sans" w:hAnsi="Noto Sans" w:eastAsia="Arial Unicode MS" w:cs="Noto Sans"/>
                <w:sz w:val="17"/>
              </w:rPr>
              <w:t>Fraudulent chargeback of terugbetalingsclaim</w:t>
            </w:r>
          </w:p>
        </w:tc>
        <w:tc>
          <w:tcPr>
            <w:tcW w:type="dxa" w:w="3249"/>
            <w:vAlign w:val="center"/>
          </w:tcPr>
          <w:p>
            <w:pPr>
              <w:spacing w:after="40"/>
            </w:pPr>
            <w:r>
              <w:rPr>
                <w:rFonts w:ascii="Noto Sans" w:hAnsi="Noto Sans" w:eastAsia="Arial Unicode MS" w:cs="Noto Sans"/>
                <w:sz w:val="17"/>
              </w:rPr>
              <w:t>Beoordeel bewijs onder toepasselijk recht en de Spelersregels.</w:t>
            </w:r>
          </w:p>
        </w:tc>
        <w:tc>
          <w:tcPr>
            <w:tcW w:type="dxa" w:w="3249"/>
            <w:vAlign w:val="center"/>
          </w:tcPr>
          <w:p>
            <w:pPr>
              <w:spacing w:after="40"/>
            </w:pPr>
            <w:r>
              <w:rPr>
                <w:rFonts w:ascii="Noto Sans" w:hAnsi="Noto Sans" w:eastAsia="Arial Unicode MS" w:cs="Noto Sans"/>
                <w:sz w:val="17"/>
              </w:rPr>
              <w:t>Abnormale opbrengsten kunnen worden bevroren of hersteld.</w:t>
            </w:r>
          </w:p>
        </w:tc>
      </w:tr>
    </w:tbl>
    <w:p>
      <w:pPr>
        <w:spacing w:after="40"/>
      </w:pPr>
    </w:p>
    <w:p>
      <w:pPr>
        <w:pStyle w:val="Heading1"/>
        <w:keepLines w:val="0"/>
      </w:pPr>
      <w:r>
        <w:rPr>
          <w:rFonts w:ascii="Noto Sans" w:hAnsi="Noto Sans" w:eastAsia="Arial Unicode MS" w:cs="Noto Sans"/>
          <w:b w:val="0"/>
        </w:rPr>
        <w:t>13. Regionale aanvullende regels</w:t>
      </w:r>
    </w:p>
    <w:p>
      <w:pPr>
        <w:pStyle w:val="Heading1"/>
        <w:keepLines w:val="0"/>
      </w:pPr>
      <w:r>
        <w:rPr>
          <w:rFonts w:ascii="Noto Sans" w:hAnsi="Noto Sans" w:eastAsia="Arial Unicode MS" w:cs="Noto Sans"/>
          <w:b w:val="0"/>
        </w:rPr>
        <w:t>13.1 Mainland China</w:t>
      </w:r>
    </w:p>
    <w:p>
      <w:pPr>
        <w:keepLines w:val="0"/>
      </w:pPr>
      <w:r>
        <w:rPr>
          <w:rFonts w:ascii="Noto Sans" w:hAnsi="Noto Sans" w:eastAsia="Arial Unicode MS" w:cs="Noto Sans"/>
          <w:b w:val="0"/>
        </w:rPr>
        <w:t>Of het zeven dagen bedenktijdbeleid zonder vragen van toepassing is op digitale goederen op de officiële website, wordt bepaald overeenkomstig de Wet ter bescherming van de consument, waarbij rekening wordt gehouden met de aard van de goederen, de leveringsmethode en of er vóór aankoop duidelijke prompts of bevestigingen zijn gegeven. Deze clausule zal geen gebruik maken van een standaardclausule om enig recht op terugbetaling, ontbinding of schadevergoeding dat wettelijk niet kan worden uitgesloten, uit te sluiten.</w:t>
      </w:r>
    </w:p>
    <w:p>
      <w:pPr>
        <w:keepLines w:val="0"/>
      </w:pPr>
      <w:r>
        <w:rPr>
          <w:rFonts w:ascii="Noto Sans" w:hAnsi="Noto Sans" w:eastAsia="Arial Unicode MS" w:cs="Noto Sans"/>
          <w:b w:val="0"/>
        </w:rPr>
        <w:t>Voor digitale goederen moeten bepalingen met betrekking tot retour zonder opgaaf van reden, risico's bij willekeurige itemaankopen, aanzienlijke beperkingen, leverings- en terugbetalingsvoorwaarden, en andere termen van wezenlijk belang voor consumenten, prominent worden getoond vóór aankoop, en waar nodig moet gebruikersbevestiging worden verkregen.</w:t>
      </w:r>
    </w:p>
    <w:p>
      <w:pPr>
        <w:keepLines w:val="0"/>
      </w:pPr>
      <w:r>
        <w:rPr>
          <w:rFonts w:ascii="Noto Sans" w:hAnsi="Noto Sans" w:eastAsia="Arial Unicode MS" w:cs="Noto Sans"/>
          <w:b w:val="0"/>
        </w:rPr>
        <w:t>Goederen van het willekeurige type moeten ondergaan speciale naleving review voorafgaand aan hun officiële lancering in de Volksrepubliek China; als de toepasselijke regels op dat moment directe deelname aan loterijen met gebruikmaking van legale valuta of virtuele valuta verbieden, zal het verkoopmodel worden aangepast of zal de functie worden opgeschort.</w:t>
      </w:r>
    </w:p>
    <w:p>
      <w:pPr>
        <w:pStyle w:val="Heading1"/>
        <w:keepLines w:val="0"/>
      </w:pPr>
      <w:r>
        <w:rPr>
          <w:rFonts w:ascii="Noto Sans" w:hAnsi="Noto Sans" w:eastAsia="Arial Unicode MS" w:cs="Noto Sans"/>
          <w:b w:val="0"/>
        </w:rPr>
        <w:t>13.2 Verenigde Staten</w:t>
      </w:r>
    </w:p>
    <w:p>
      <w:pPr>
        <w:keepLines w:val="0"/>
      </w:pPr>
      <w:r>
        <w:rPr>
          <w:rFonts w:ascii="Noto Sans" w:hAnsi="Noto Sans" w:eastAsia="Arial Unicode MS" w:cs="Noto Sans"/>
          <w:b w:val="0"/>
        </w:rPr>
        <w:t>De gebruiksvoorwaarden sluiten geen enkele consumentenbeschermingsrechten uit die zijn toegekend onder federale of staat-consumentenbeschermingswetten die niet kunnen worden afgestane. Het aankoopproces moet duidelijke en bevestigde toestemming verkrijgen, misleidende knoppen, verborgen kosten of onduidelijke aankoopbevestigingen vermijdend. Geschillen betreffende ongeautoriseerde aankopen en werkelijke betalingsgeschillen zullen worden opgelost overeenkomstig toepasselijke wetten, betaalnetwerken en platformregels.</w:t>
      </w:r>
    </w:p>
    <w:p>
      <w:pPr>
        <w:pStyle w:val="Heading1"/>
        <w:keepLines w:val="0"/>
      </w:pPr>
      <w:r>
        <w:rPr>
          <w:rFonts w:ascii="Noto Sans" w:hAnsi="Noto Sans" w:eastAsia="Arial Unicode MS" w:cs="Noto Sans"/>
          <w:b w:val="0"/>
        </w:rPr>
        <w:t>13.3 Japan</w:t>
      </w:r>
    </w:p>
    <w:p>
      <w:pPr>
        <w:keepLines w:val="0"/>
      </w:pPr>
      <w:r>
        <w:rPr>
          <w:rFonts w:ascii="Noto Sans" w:hAnsi="Noto Sans" w:eastAsia="Arial Unicode MS" w:cs="Noto Sans"/>
          <w:b w:val="0"/>
        </w:rPr>
        <w:t>Bij het uitvoeren van officiële websiteverkopen gericht op Japanse gebruikers, dienen exploitanten op de productpagina of een speciale pagina de wettelijk vereiste openbaarmakingen te verstrekken volgens de "Wet op Specifieke Commerciële Transacties", inclusief de ware informatie van de verkoper, prijs, betaalmethode, levertijd, voorwaarden voor annulering/beëindiging, en terugbetalingsbeleid. Deze voorwaarden vervangen niet de "verplichte openbaarmakingen onder de Wet op Specifieke Commerciële Transacties."</w:t>
      </w:r>
    </w:p>
    <w:p>
      <w:pPr>
        <w:keepLines w:val="0"/>
      </w:pPr>
      <w:r>
        <w:rPr>
          <w:rFonts w:ascii="Noto Sans" w:hAnsi="Noto Sans" w:eastAsia="Arial Unicode MS" w:cs="Noto Sans"/>
          <w:b w:val="0"/>
        </w:rPr>
        <w:t>De koelingsperiode van toepassing op online verkopen in Japan past niet automatisch hetzelfde mechanisme toe als in fysieke winkels, en specifieke retour- of annuleringsvoorwaarden moeten duidelijk worden weergegeven op de advertentiepagina en de definitieve bevestigingspagina. Gebruikers behouden echter hun corresponderende wettelijke rechten van herstel indien het product gebreken vertoont, verkeerde voorstelling heeft, of anderszins door de wet wordt voorzien.</w:t>
      </w:r>
    </w:p>
    <w:p>
      <w:pPr>
        <w:pStyle w:val="Heading1"/>
        <w:keepLines w:val="0"/>
      </w:pPr>
      <w:r>
        <w:rPr>
          <w:rFonts w:ascii="Noto Sans" w:hAnsi="Noto Sans" w:eastAsia="Arial Unicode MS" w:cs="Noto Sans"/>
          <w:b w:val="0"/>
        </w:rPr>
        <w:t>14. Grens tussen terugbetalingsbeleid en sancties bij spelersschendingen</w:t>
      </w:r>
    </w:p>
    <w:p>
      <w:pPr>
        <w:keepLines w:val="0"/>
      </w:pPr>
      <w:r>
        <w:rPr>
          <w:rFonts w:ascii="Noto Sans" w:hAnsi="Noto Sans" w:eastAsia="Arial Unicode MS" w:cs="Noto Sans"/>
          <w:b w:val="0"/>
        </w:rPr>
        <w:t>Terugbetalingen lossen echte aankoopschillen op. Gewone terugbetalingen, goedgevonden klachten en echte chargebacks leiden niet automatisch tot permanente isolatie. Zodra een kleine aankoop is geverifieerd en zijn goedgekeurde volledige of aanzienlijk volledige terugbetaling daadwerkelijk is voltooid onder Afdeling 7, verliest het gerelateerde spelaccount permanent normale speltoegang. Het kan zich aanmelden bij een speciale beperkte zone maar kan geen toegang krijgen tot de gewone wereld, winkel, handel, evenementen of normale sociale en economische gameplay, of eruit komen via gewone quests, items, reizen of een nieuwe login. Het spel stelt dit voor als een gevangeniskaart en levenslange straf; dit is een spel-dienststatus, geen strafrechtelijke uitspraak, en het vermindert geen enkele wettelijk verschuldigde terugbetaling.</w:t>
      </w:r>
    </w:p>
    <w:p>
      <w:pPr>
        <w:keepLines w:val="0"/>
      </w:pPr>
      <w:r>
        <w:rPr>
          <w:rFonts w:ascii="Noto Sans" w:hAnsi="Noto Sans" w:eastAsia="Arial Unicode MS" w:cs="Noto Sans"/>
          <w:b w:val="0"/>
        </w:rPr>
        <w:t>De restrictie geldt alleen voor het gerelateerde gameaccount, niet automatisch voor het volledige DAWNBLOOM-account of andere apps. Verkeerde leeftijd, voogdij, orderattribution, restitutiestatus of accountkoppeling kan worden betwist via support. Alleen geautoriseerde, geregistreerde menselijke correctie kan een foutieve restrictie ongedaan maken. Onafhankelijk bewezen fraude of ander misbruik wordt afgehandeld volgens de Spelersregels en Handhavingsbeleid.</w:t>
      </w:r>
    </w:p>
    <w:p>
      <w:pPr>
        <w:pStyle w:val="Heading1"/>
        <w:keepLines w:val="0"/>
      </w:pPr>
      <w:r>
        <w:rPr>
          <w:rFonts w:ascii="Noto Sans" w:hAnsi="Noto Sans" w:eastAsia="Arial Unicode MS" w:cs="Noto Sans"/>
          <w:b w:val="0"/>
        </w:rPr>
        <w:t>15. Onderbrekingen van diensten, grote wijzigingen en beëindiging van diensten</w:t>
      </w:r>
    </w:p>
    <w:p>
      <w:pPr>
        <w:keepLines w:val="0"/>
      </w:pPr>
      <w:r>
        <w:rPr>
          <w:rFonts w:ascii="Noto Sans" w:hAnsi="Noto Sans" w:eastAsia="Arial Unicode MS" w:cs="Noto Sans"/>
          <w:b w:val="0"/>
        </w:rPr>
        <w:t>Indien een gekochte en nog steeds geldige digitale goedheid wegens redenen van de exploitant gedurende een langere periode niet kan worden geleverd of gebruikt, zullen wij herstelmaatregelen, alternatieve rechten, een terugbetaling of andere redelijke oplossingen bieden op basis van toepasselijke wetgeving, platformregels, de aard van de goederen en technische herwinbaarheid.</w:t>
      </w:r>
    </w:p>
    <w:p>
      <w:pPr>
        <w:keepLines w:val="0"/>
      </w:pPr>
      <w:r>
        <w:rPr>
          <w:rFonts w:ascii="Noto Sans" w:hAnsi="Noto Sans" w:eastAsia="Arial Unicode MS" w:cs="Noto Sans"/>
          <w:b w:val="0"/>
        </w:rPr>
        <w:t>In het geval dat wettelijke vereisten beëindiging van gerelateerde online gameservices noodzakelijk maken, zullen ongebruikte digitale rechten, virtuele valuta of niet-uitgevoelde betaalde diensten worden afgehandeld in overeenstemming met toepasselijke wetgeving, regelgevende vereisten, platformregels en enig publiekelijk aangekondigd servicebeëindigingsplan op dat moment.</w:t>
      </w:r>
    </w:p>
    <w:p>
      <w:pPr>
        <w:pStyle w:val="Heading1"/>
        <w:keepLines w:val="0"/>
      </w:pPr>
      <w:r>
        <w:rPr>
          <w:rFonts w:ascii="Noto Sans" w:hAnsi="Noto Sans" w:eastAsia="Arial Unicode MS" w:cs="Noto Sans"/>
          <w:b w:val="0"/>
        </w:rPr>
        <w:t>16. Cláusule-updates en historische versies</w:t>
      </w:r>
    </w:p>
    <w:p>
      <w:pPr>
        <w:keepLines w:val="0"/>
      </w:pPr>
      <w:r>
        <w:rPr>
          <w:rFonts w:ascii="Noto Sans" w:hAnsi="Noto Sans" w:eastAsia="Arial Unicode MS" w:cs="Noto Sans"/>
          <w:b w:val="0"/>
        </w:rPr>
        <w:t>Wezenlijke wijzigingen worden duidelijk zichtbaar bekendgemaakt met vermelding van de versie en ingangsdatum. Deze V8 is pas na officiële inwerkingtreding van toepassing op daarna geplaatste nieuwe bestellingen en de bijbehorende procedures; bestaande bestellingen blijven gebaseerd op de bij aankoop uitdrukkelijk weergegeven transactievoorwaarden en de wettelijk toepasselijke regels. Nieuwe voorwaarden wijzigen prijzen niet met terugwerkende kracht en ontnemen geen wettelijke rechten.</w:t>
      </w:r>
    </w:p>
    <w:p>
      <w:pPr>
        <w:keepLines w:val="0"/>
      </w:pPr>
      <w:r>
        <w:rPr>
          <w:rFonts w:ascii="Noto Sans" w:hAnsi="Noto Sans" w:eastAsia="Arial Unicode MS" w:cs="Noto Sans"/>
          <w:b w:val="0"/>
        </w:rPr>
        <w:t>Bestellingen die reeds zijn voltooid, worden over het algemeen beheerst door de transactiep pagina, productbeschrijving en toepasselijke regels die golden op het moment van aankoop; de nieuwe versie van deze voorwaarden zal gebruikers niet automatisch beroven van enige wettelijke rechten die reeds zijn ontstaan.</w:t>
      </w:r>
    </w:p>
    <w:p>
      <w:pPr>
        <w:pStyle w:val="Heading1"/>
        <w:keepLines w:val="0"/>
      </w:pPr>
      <w:r>
        <w:rPr>
          <w:rFonts w:ascii="Noto Sans" w:hAnsi="Noto Sans" w:eastAsia="Arial Unicode MS" w:cs="Noto Sans"/>
          <w:b w:val="0"/>
        </w:rPr>
        <w:t>17. Neem contact met ons op en geschillenbeslechting</w:t>
      </w:r>
    </w:p>
    <w:p>
      <w:pPr>
        <w:keepLines w:val="0"/>
      </w:pPr>
      <w:r>
        <w:rPr>
          <w:rFonts w:ascii="Noto Sans" w:hAnsi="Noto Sans" w:eastAsia="Arial Unicode MS" w:cs="Noto Sans"/>
          <w:b w:val="0"/>
        </w:rPr>
        <w:t xml:space="preserve">Facturatie, betaling en terugbetaling: </w:t>
      </w:r>
      <w:hyperlink r:id="rId14">
        <w:r>
          <w:rPr>
            <w:rFonts w:ascii="Noto Sans" w:hAnsi="Noto Sans" w:eastAsia="Arial Unicode MS"/>
            <w:b w:val="0"/>
          </w:rPr>
          <w:t xml:space="preserve">billing@dawnbloom.net</w:t>
        </w:r>
      </w:hyperlink>
      <w:r>
        <w:rPr>
          <w:rFonts w:ascii="Noto Sans" w:hAnsi="Noto Sans" w:eastAsia="Arial Unicode MS" w:cs="Noto Sans"/>
          <w:b w:val="0"/>
        </w:rPr>
        <w:t xml:space="preserve">; Algemene klantenservice voor spelers: </w:t>
      </w:r>
      <w:hyperlink r:id="rId12">
        <w:r>
          <w:rPr>
            <w:rFonts w:ascii="Noto Sans" w:hAnsi="Noto Sans" w:eastAsia="Arial Unicode MS"/>
            <w:b w:val="0"/>
          </w:rPr>
          <w:t xml:space="preserve">support@dawnbloom.net</w:t>
        </w:r>
      </w:hyperlink>
      <w:r>
        <w:rPr>
          <w:rFonts w:ascii="Noto Sans" w:hAnsi="Noto Sans" w:eastAsia="Arial Unicode MS" w:cs="Noto Sans"/>
          <w:b w:val="0"/>
        </w:rPr>
        <w:t xml:space="preserve">; Juridische, auteursrechten- en privacyvragen: </w:t>
      </w:r>
      <w:hyperlink r:id="rId15">
        <w:r>
          <w:rPr>
            <w:rFonts w:ascii="Noto Sans" w:hAnsi="Noto Sans" w:eastAsia="Arial Unicode MS"/>
            <w:b w:val="0"/>
          </w:rPr>
          <w:t xml:space="preserve">legal@dawnbloom.net</w:t>
        </w:r>
      </w:hyperlink>
    </w:p>
    <w:p>
      <w:pPr>
        <w:keepLines w:val="0"/>
      </w:pPr>
      <w:r>
        <w:rPr>
          <w:rFonts w:ascii="Noto Sans" w:hAnsi="Noto Sans" w:eastAsia="Arial Unicode MS" w:cs="Noto Sans"/>
          <w:b w:val="0"/>
        </w:rPr>
        <w:t>Operatieadres / officieel contactadres: Kamer 218, Gebouw 3, Nr 336 Tianjiao Road, Lin-gang Speciale Gebied van de China (Shanghai) Pilot Vrijhandelszone, China</w:t>
      </w:r>
    </w:p>
    <w:p>
      <w:pPr>
        <w:keepLines w:val="0"/>
      </w:pPr>
      <w:r>
        <w:rPr>
          <w:rFonts w:ascii="Noto Sans" w:hAnsi="Noto Sans" w:eastAsia="Arial Unicode MS" w:cs="Noto Sans"/>
          <w:b w:val="0"/>
        </w:rPr>
        <w:t>Gebruikers kunnen eerst ordergeschillen en verzoeken om terugbetaling indienen via klantenservice. Als onderhandelingen het probleem niet oplossen, kunnen gebruikers nog steeds recht zoeken onder toepasselijke wetgeving bij consumentenbeschermingsinstanties, betalingsinstellingen, het platform, arbitrage- of bemiddelingsorganen of bevoegde rechtbanken.</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Arial Unicode MS"/>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Arial Unicode MS"/>
        <w:color w:val="67778B"/>
        <w:sz w:val="15"/>
      </w:rP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w:hAnsi="Noto Sans" w:eastAsia="Arial Unicode MS"/>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w:hAnsi="Noto Sans" w:eastAsia="Arial Unicode MS"/>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w:hAnsi="Noto Sans" w:eastAsia="Arial Unicode MS"/>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w:hAnsi="Noto Sans" w:eastAsia="Arial Unicode MS"/>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eastAsia="Arial Unicode MS"/>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awnbloom.net" TargetMode="External"/><Relationship Id="rId12" Type="http://schemas.openxmlformats.org/officeDocument/2006/relationships/hyperlink" Target="mailto:support@dawnbloom.net" TargetMode="External"/><Relationship Id="rId13" Type="http://schemas.openxmlformats.org/officeDocument/2006/relationships/hyperlink" Target="https://www.dawnbloom.net/support" TargetMode="External"/><Relationship Id="rId14" Type="http://schemas.openxmlformats.org/officeDocument/2006/relationships/hyperlink" Target="mailto:billing@dawnbloom.net" TargetMode="External"/><Relationship Id="rId15" Type="http://schemas.openxmlformats.org/officeDocument/2006/relationships/hyperlink" Target="mailto:legal@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Verkoop- en terugbetalingsvoorwaarden DAWNBLOOM</dc:title>
  <dc:subject>DAWNBLOOM legal document V8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