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Arial Unicode MS" w:cs="Noto Sans"/>
          <w:b/>
          <w:color w:val="142032"/>
          <w:sz w:val="40"/>
        </w:rPr>
        <w:t>Juridische informatie en mededelingen van DAWNBLOOM</w:t>
      </w:r>
    </w:p>
    <w:p>
      <w:pPr>
        <w:keepLines w:val="0"/>
      </w:pPr>
      <w:r>
        <w:rPr>
          <w:rFonts w:ascii="Noto Sans" w:hAnsi="Noto Sans" w:eastAsia="Arial Unicode MS" w:cs="Noto Sans"/>
          <w:b w:val="0"/>
        </w:rPr>
        <w:t>Officiële versie</w:t>
      </w:r>
    </w:p>
    <w:p>
      <w:pPr>
        <w:keepLines w:val="0"/>
      </w:pPr>
      <w:r>
        <w:rPr>
          <w:rFonts w:ascii="Noto Sans" w:hAnsi="Noto Sans" w:eastAsia="Arial Unicode MS" w:cs="Noto Sans"/>
          <w:b w:val="0"/>
        </w:rPr>
        <w:t>Versie: V8</w:t>
      </w:r>
    </w:p>
    <w:p>
      <w:pPr>
        <w:keepLines w:val="0"/>
      </w:pPr>
      <w:r>
        <w:rPr>
          <w:rFonts w:ascii="Noto Sans" w:hAnsi="Noto Sans" w:eastAsia="Arial Unicode MS" w:cs="Noto Sans"/>
          <w:b w:val="0"/>
        </w:rPr>
        <w:t>Ingangsdatum: 10 oktober 2026</w:t>
      </w:r>
    </w:p>
    <w:p>
      <w:pPr>
        <w:keepLines w:val="0"/>
      </w:pPr>
      <w:r>
        <w:rPr>
          <w:rFonts w:ascii="Noto Sans" w:hAnsi="Noto Sans" w:eastAsia="Arial Unicode MS" w:cs="Noto Sans"/>
          <w:b w:val="0"/>
        </w:rPr>
        <w:t>Wijzigingsdatum: 10 oktober 2026</w:t>
      </w:r>
    </w:p>
    <w:p>
      <w:pPr>
        <w:keepLines w:val="0"/>
      </w:pPr>
      <w:r>
        <w:rPr>
          <w:rFonts w:ascii="Noto Sans" w:hAnsi="Noto Sans" w:eastAsia="Arial Unicode MS" w:cs="Noto Sans"/>
          <w:b w:val="0"/>
        </w:rPr>
        <w:t xml:space="preserve">Toepasselijke websites: </w:t>
      </w:r>
      <w:hyperlink r:id="rId11">
        <w:r>
          <w:rPr>
            <w:rFonts w:ascii="Noto Sans" w:hAnsi="Noto Sans" w:eastAsia="Arial Unicode MS"/>
            <w:b w:val="0"/>
          </w:rPr>
          <w:t xml:space="preserve">https://dawnbloom.net</w:t>
        </w:r>
      </w:hyperlink>
      <w:r>
        <w:rPr>
          <w:rFonts w:ascii="Noto Sans" w:hAnsi="Noto Sans" w:eastAsia="Arial Unicode MS" w:cs="Noto Sans"/>
          <w:b w:val="0"/>
        </w:rPr>
        <w:t xml:space="preserve"> en officiële subdomeinen</w:t>
      </w:r>
    </w:p>
    <w:p>
      <w:pPr>
        <w:keepLines w:val="0"/>
      </w:pPr>
      <w:r>
        <w:rPr>
          <w:rFonts w:ascii="Noto Sans" w:hAnsi="Noto Sans" w:eastAsia="Arial Unicode MS" w:cs="Noto Sans"/>
          <w:b w:val="0"/>
        </w:rPr>
        <w:t>Toepasselijke merken: de zeven DAWNBLOOM-producten</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Bestandslocatie</w:t>
              <w:br/>
              <w:t>Dit document dient als de officiële juridische toegangspoort op de website: het biedt publieke toegang tot de operationele entiteit en officiële kanalen, copyright- en handelsmerkverklaringen, identificatie van derden, procedures voor het melden van inbreuken, open licentiegebruik voor herpublicatie, verklaringen over open-source software, uitleg over AI-spelersdiensten en andere juridische mededelingen. Aparte, specifieke documenten regelen privacybeleid, spelersgedrag, websitegebruik, accountbeveiliging en verkoop- en restitutiezaakjes.</w:t>
            </w:r>
          </w:p>
        </w:tc>
      </w:tr>
    </w:tbl>
    <w:p>
      <w:pPr>
        <w:spacing w:after="40"/>
      </w:pPr>
    </w:p>
    <w:p>
      <w:pPr>
        <w:pStyle w:val="Heading1"/>
        <w:keepLines w:val="0"/>
      </w:pPr>
      <w:r>
        <w:rPr>
          <w:rFonts w:ascii="Noto Sans" w:hAnsi="Noto Sans" w:eastAsia="Arial Unicode MS" w:cs="Noto Sans"/>
          <w:b w:val="0"/>
        </w:rPr>
        <w:t>1. Officiële identiteit, operationele entiteit en toegang tot juridische documenten</w:t>
      </w:r>
    </w:p>
    <w:p>
      <w:pPr>
        <w:keepLines w:val="0"/>
      </w:pPr>
      <w:r>
        <w:rPr>
          <w:rFonts w:ascii="Noto Sans" w:hAnsi="Noto Sans" w:eastAsia="Arial Unicode MS" w:cs="Noto Sans"/>
          <w:b w:val="0"/>
        </w:rPr>
        <w:t>DAWNBLOOM wordt beheerd door 上海追光智创文化传媒有限公司. De tabel identificeert haar enige wereldwijde website en regionale taalingangspunten. Regionale ingangen leiden alleen naar de hoofdsite en creëren geen aparte operator, account, betaal- of downloadservice of database. De operator heeft de bedrijfsregistratie-identiteit voor de China-ingang verstrekt. De Japanse ingang is met hulp geregistreerd; de geregistreerde houder en formele autorisatie moeten nog worden geverifieerd. Dit document claimt geen eigendom van het Japanse domein. Domeinsuffixes stellen noch Mainland China-hosting of ICP-aanmelding vast, noch een Japanse vennootschap of tak. Andere sites, groepen, winkels en sociale accounts zijn alleen officieel wanneer uitdrukkelijk vermeld door de hoofdsite.</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Project</w:t>
            </w:r>
          </w:p>
        </w:tc>
        <w:tc>
          <w:tcPr>
            <w:tcW w:type="dxa" w:w="4873"/>
            <w:vAlign w:val="center"/>
            <w:shd w:fill="DCE8F7"/>
          </w:tcPr>
          <w:p>
            <w:pPr>
              <w:keepNext/>
              <w:spacing w:after="40"/>
            </w:pPr>
            <w:r>
              <w:rPr>
                <w:rFonts w:ascii="Noto Sans" w:hAnsi="Noto Sans" w:eastAsia="Arial Unicode MS" w:cs="Noto Sans"/>
                <w:b/>
                <w:sz w:val="17"/>
              </w:rPr>
              <w:t>Officiële informatie</w:t>
            </w:r>
          </w:p>
        </w:tc>
      </w:tr>
      <w:tr>
        <w:trPr>
          <w:cantSplit/>
        </w:trPr>
        <w:tc>
          <w:tcPr>
            <w:tcW w:type="dxa" w:w="4873"/>
            <w:vAlign w:val="center"/>
          </w:tcPr>
          <w:p>
            <w:pPr>
              <w:spacing w:after="40"/>
            </w:pPr>
            <w:r>
              <w:rPr>
                <w:rFonts w:ascii="Noto Sans" w:hAnsi="Noto Sans" w:eastAsia="Arial Unicode MS" w:cs="Noto Sans"/>
                <w:sz w:val="17"/>
              </w:rPr>
              <w:t>Exploitant / website service provider</w:t>
            </w:r>
          </w:p>
        </w:tc>
        <w:tc>
          <w:tcPr>
            <w:tcW w:type="dxa" w:w="4873"/>
            <w:vAlign w:val="center"/>
          </w:tcPr>
          <w:p>
            <w:pPr>
              <w:spacing w:after="40"/>
            </w:pPr>
            <w:r>
              <w:rPr>
                <w:rFonts w:ascii="Noto Sans" w:hAnsi="Noto Sans" w:eastAsia="Arial Unicode MS" w:cs="Noto Sans"/>
                <w:sz w:val="17"/>
              </w:rPr>
              <w:t>上海追光智创文化传媒有限公司 (Engelse publieksnaam: SHANGHAI LUMIREALM CREATIVE MEDIA CO., LTD.)</w:t>
            </w:r>
          </w:p>
        </w:tc>
      </w:tr>
      <w:tr>
        <w:trPr>
          <w:cantSplit/>
        </w:trPr>
        <w:tc>
          <w:tcPr>
            <w:tcW w:type="dxa" w:w="4873"/>
            <w:vAlign w:val="center"/>
          </w:tcPr>
          <w:p>
            <w:pPr>
              <w:spacing w:after="40"/>
            </w:pPr>
            <w:r>
              <w:rPr>
                <w:rFonts w:ascii="Noto Sans" w:hAnsi="Noto Sans" w:eastAsia="Arial Unicode MS" w:cs="Noto Sans"/>
                <w:sz w:val="17"/>
              </w:rPr>
              <w:t>Enige wereldwijde website</w:t>
            </w:r>
          </w:p>
        </w:tc>
        <w:tc>
          <w:tcPr>
            <w:tcW w:type="dxa" w:w="4873"/>
            <w:vAlign w:val="center"/>
          </w:tcPr>
          <w:p>
            <w:pPr>
              <w:spacing w:after="40"/>
            </w:pPr>
            <w:hyperlink r:id="rId11">
              <w:r>
                <w:rPr>
                  <w:rFonts w:ascii="Noto Sans" w:hAnsi="Noto Sans" w:eastAsia="Arial Unicode MS"/>
                  <w:sz w:val="17"/>
                </w:rPr>
                <w:t xml:space="preserve">https://dawnbloom.net</w:t>
              </w:r>
            </w:hyperlink>
          </w:p>
        </w:tc>
      </w:tr>
      <w:tr>
        <w:trPr>
          <w:cantSplit/>
        </w:trPr>
        <w:tc>
          <w:tcPr>
            <w:tcW w:type="dxa" w:w="4873"/>
            <w:vAlign w:val="center"/>
          </w:tcPr>
          <w:p>
            <w:pPr>
              <w:spacing w:after="40"/>
            </w:pPr>
            <w:r>
              <w:rPr>
                <w:rFonts w:ascii="Noto Sans" w:hAnsi="Noto Sans" w:eastAsia="Arial Unicode MS" w:cs="Noto Sans"/>
                <w:sz w:val="17"/>
              </w:rPr>
              <w:t>Chinestaalige ingang</w:t>
            </w:r>
          </w:p>
        </w:tc>
        <w:tc>
          <w:tcPr>
            <w:tcW w:type="dxa" w:w="4873"/>
            <w:vAlign w:val="center"/>
          </w:tcPr>
          <w:p>
            <w:pPr>
              <w:spacing w:after="40"/>
            </w:pPr>
            <w:hyperlink r:id="rId12">
              <w:r>
                <w:rPr>
                  <w:rFonts w:ascii="Noto Sans" w:hAnsi="Noto Sans" w:eastAsia="Arial Unicode MS"/>
                  <w:sz w:val="17"/>
                </w:rPr>
                <w:t xml:space="preserve">https://dawnbloom.com.cn</w:t>
              </w:r>
            </w:hyperlink>
            <w:r>
              <w:rPr>
                <w:rFonts w:ascii="Noto Sans" w:hAnsi="Noto Sans" w:eastAsia="Arial Unicode MS" w:cs="Noto Sans"/>
                <w:sz w:val="17"/>
              </w:rPr>
              <w:t xml:space="preserve"> · www.dawnbloom.com.cn → </w:t>
            </w:r>
            <w:hyperlink r:id="rId13">
              <w:r>
                <w:rPr>
                  <w:rFonts w:ascii="Noto Sans" w:hAnsi="Noto Sans" w:eastAsia="Arial Unicode MS"/>
                  <w:sz w:val="17"/>
                </w:rPr>
                <w:t xml:space="preserve">https://dawnbloom.net/zh/</w:t>
              </w:r>
            </w:hyperlink>
          </w:p>
        </w:tc>
      </w:tr>
      <w:tr>
        <w:trPr>
          <w:cantSplit/>
        </w:trPr>
        <w:tc>
          <w:tcPr>
            <w:tcW w:type="dxa" w:w="4873"/>
            <w:vAlign w:val="center"/>
          </w:tcPr>
          <w:p>
            <w:pPr>
              <w:spacing w:after="40"/>
            </w:pPr>
            <w:r>
              <w:rPr>
                <w:rFonts w:ascii="Noto Sans" w:hAnsi="Noto Sans" w:eastAsia="Arial Unicode MS" w:cs="Noto Sans"/>
                <w:sz w:val="17"/>
              </w:rPr>
              <w:t>Japanstaalige ingang</w:t>
            </w:r>
          </w:p>
        </w:tc>
        <w:tc>
          <w:tcPr>
            <w:tcW w:type="dxa" w:w="4873"/>
            <w:vAlign w:val="center"/>
          </w:tcPr>
          <w:p>
            <w:pPr>
              <w:spacing w:after="40"/>
            </w:pPr>
            <w:hyperlink r:id="rId14">
              <w:r>
                <w:rPr>
                  <w:rFonts w:ascii="Noto Sans" w:hAnsi="Noto Sans" w:eastAsia="Arial Unicode MS"/>
                  <w:sz w:val="17"/>
                </w:rPr>
                <w:t xml:space="preserve">https://dawnbloom.jp</w:t>
              </w:r>
            </w:hyperlink>
            <w:r>
              <w:rPr>
                <w:rFonts w:ascii="Noto Sans" w:hAnsi="Noto Sans" w:eastAsia="Arial Unicode MS" w:cs="Noto Sans"/>
                <w:sz w:val="17"/>
              </w:rPr>
              <w:t xml:space="preserve"> · www.dawnbloom.jp → </w:t>
            </w:r>
            <w:hyperlink r:id="rId15">
              <w:r>
                <w:rPr>
                  <w:rFonts w:ascii="Noto Sans" w:hAnsi="Noto Sans" w:eastAsia="Arial Unicode MS"/>
                  <w:sz w:val="17"/>
                </w:rPr>
                <w:t xml:space="preserve">https://dawnbloom.net/ja/</w:t>
              </w:r>
            </w:hyperlink>
            <w:r>
              <w:rPr>
                <w:rFonts w:ascii="Noto Sans" w:hAnsi="Noto Sans" w:eastAsia="Arial Unicode MS" w:cs="Noto Sans"/>
                <w:sz w:val="17"/>
              </w:rPr>
              <w:t xml:space="preserve"> (beschikbaar; HTTPS 301)</w:t>
            </w:r>
          </w:p>
        </w:tc>
      </w:tr>
      <w:tr>
        <w:trPr>
          <w:cantSplit/>
        </w:trPr>
        <w:tc>
          <w:tcPr>
            <w:tcW w:type="dxa" w:w="4873"/>
            <w:vAlign w:val="center"/>
          </w:tcPr>
          <w:p>
            <w:pPr>
              <w:spacing w:after="40"/>
            </w:pPr>
            <w:r>
              <w:rPr>
                <w:rFonts w:ascii="Noto Sans" w:hAnsi="Noto Sans" w:eastAsia="Arial Unicode MS" w:cs="Noto Sans"/>
                <w:sz w:val="17"/>
              </w:rPr>
              <w:t>Officiële Koreaanstalige ingang</w:t>
            </w:r>
          </w:p>
        </w:tc>
        <w:tc>
          <w:tcPr>
            <w:tcW w:type="dxa" w:w="4873"/>
            <w:vAlign w:val="center"/>
          </w:tcPr>
          <w:p>
            <w:pPr>
              <w:spacing w:after="40"/>
            </w:pPr>
            <w:r>
              <w:rPr>
                <w:rFonts w:ascii="Noto Sans" w:hAnsi="Noto Sans" w:eastAsia="Arial Unicode MS" w:cs="Noto Sans"/>
                <w:sz w:val="17"/>
              </w:rPr>
              <w:t xml:space="preserve">De officiële Koreaanse taaltoegangspagina's dawnbloom.kr en www.dawnbloom.kr gebruiken HTTPS 301-omleidingen naar </w:t>
            </w:r>
            <w:hyperlink r:id="rId16">
              <w:r>
                <w:rPr>
                  <w:rFonts w:ascii="Noto Sans" w:hAnsi="Noto Sans" w:eastAsia="Arial Unicode MS"/>
                  <w:sz w:val="17"/>
                </w:rPr>
                <w:t xml:space="preserve">https://dawnbloom.net/kr/.</w:t>
              </w:r>
            </w:hyperlink>
            <w:r>
              <w:rPr>
                <w:rFonts w:ascii="Noto Sans" w:hAnsi="Noto Sans" w:eastAsia="Arial Unicode MS" w:cs="Noto Sans"/>
                <w:sz w:val="17"/>
              </w:rPr>
              <w:t xml:space="preserve"> DNS-wijzigingen kunnen tijd nodig hebben om zich te verspreiden. Ze gebruiken de gecentraliseerde website en maken geen aparte website, account, database of Koreaanse gameserver.</w:t>
            </w:r>
          </w:p>
        </w:tc>
      </w:tr>
      <w:tr>
        <w:trPr>
          <w:cantSplit/>
        </w:trPr>
        <w:tc>
          <w:tcPr>
            <w:tcW w:type="dxa" w:w="4873"/>
            <w:vAlign w:val="center"/>
          </w:tcPr>
          <w:p>
            <w:pPr>
              <w:spacing w:after="40"/>
            </w:pPr>
            <w:r>
              <w:rPr>
                <w:rFonts w:ascii="Noto Sans" w:hAnsi="Noto Sans" w:eastAsia="Arial Unicode MS" w:cs="Noto Sans"/>
                <w:sz w:val="17"/>
              </w:rPr>
              <w:t>Algemene klantenservice</w:t>
            </w:r>
          </w:p>
        </w:tc>
        <w:tc>
          <w:tcPr>
            <w:tcW w:type="dxa" w:w="4873"/>
            <w:vAlign w:val="center"/>
          </w:tcPr>
          <w:p>
            <w:pPr>
              <w:spacing w:after="40"/>
            </w:pPr>
            <w:hyperlink r:id="rId17">
              <w:r>
                <w:rPr>
                  <w:rFonts w:ascii="Noto Sans" w:hAnsi="Noto Sans" w:eastAsia="Arial Unicode MS"/>
                  <w:sz w:val="17"/>
                </w:rPr>
                <w:t xml:space="preserve">support@dawnbloom.net</w:t>
              </w:r>
            </w:hyperlink>
          </w:p>
        </w:tc>
      </w:tr>
      <w:tr>
        <w:trPr>
          <w:cantSplit/>
        </w:trPr>
        <w:tc>
          <w:tcPr>
            <w:tcW w:type="dxa" w:w="4873"/>
            <w:vAlign w:val="center"/>
          </w:tcPr>
          <w:p>
            <w:pPr>
              <w:spacing w:after="40"/>
            </w:pPr>
            <w:r>
              <w:rPr>
                <w:rFonts w:ascii="Noto Sans" w:hAnsi="Noto Sans" w:eastAsia="Arial Unicode MS" w:cs="Noto Sans"/>
                <w:sz w:val="17"/>
              </w:rPr>
              <w:t>Juridisch/copyright contact</w:t>
            </w:r>
          </w:p>
        </w:tc>
        <w:tc>
          <w:tcPr>
            <w:tcW w:type="dxa" w:w="4873"/>
            <w:vAlign w:val="center"/>
          </w:tcPr>
          <w:p>
            <w:pPr>
              <w:spacing w:after="40"/>
            </w:pPr>
            <w:hyperlink r:id="rId18">
              <w:r>
                <w:rPr>
                  <w:rFonts w:ascii="Noto Sans" w:hAnsi="Noto Sans" w:eastAsia="Arial Unicode MS"/>
                  <w:sz w:val="17"/>
                </w:rPr>
                <w:t xml:space="preserve">legal@dawnbloom.net</w:t>
              </w:r>
            </w:hyperlink>
          </w:p>
        </w:tc>
      </w:tr>
      <w:tr>
        <w:trPr>
          <w:cantSplit/>
        </w:trPr>
        <w:tc>
          <w:tcPr>
            <w:tcW w:type="dxa" w:w="4873"/>
            <w:vAlign w:val="center"/>
          </w:tcPr>
          <w:p>
            <w:pPr>
              <w:spacing w:after="40"/>
            </w:pPr>
            <w:r>
              <w:rPr>
                <w:rFonts w:ascii="Noto Sans" w:hAnsi="Noto Sans" w:eastAsia="Arial Unicode MS" w:cs="Noto Sans"/>
                <w:sz w:val="17"/>
              </w:rPr>
              <w:t>Rapportering van beveiligingskwetsbaarheden</w:t>
            </w:r>
          </w:p>
        </w:tc>
        <w:tc>
          <w:tcPr>
            <w:tcW w:type="dxa" w:w="4873"/>
            <w:vAlign w:val="center"/>
          </w:tcPr>
          <w:p>
            <w:pPr>
              <w:spacing w:after="40"/>
            </w:pPr>
            <w:hyperlink r:id="rId19">
              <w:r>
                <w:rPr>
                  <w:rFonts w:ascii="Noto Sans" w:hAnsi="Noto Sans" w:eastAsia="Arial Unicode MS"/>
                  <w:sz w:val="17"/>
                </w:rPr>
                <w:t xml:space="preserve">security@dawnbloom.net</w:t>
              </w:r>
            </w:hyperlink>
          </w:p>
        </w:tc>
      </w:tr>
      <w:tr>
        <w:trPr>
          <w:cantSplit/>
        </w:trPr>
        <w:tc>
          <w:tcPr>
            <w:tcW w:type="dxa" w:w="4873"/>
            <w:vAlign w:val="center"/>
          </w:tcPr>
          <w:p>
            <w:pPr>
              <w:spacing w:after="40"/>
            </w:pPr>
            <w:r>
              <w:rPr>
                <w:rFonts w:ascii="Noto Sans" w:hAnsi="Noto Sans" w:eastAsia="Arial Unicode MS" w:cs="Noto Sans"/>
                <w:sz w:val="17"/>
              </w:rPr>
              <w:t>Bedrijfsadres / juridisch contactadres</w:t>
            </w:r>
          </w:p>
        </w:tc>
        <w:tc>
          <w:tcPr>
            <w:tcW w:type="dxa" w:w="4873"/>
            <w:vAlign w:val="center"/>
          </w:tcPr>
          <w:p>
            <w:pPr>
              <w:spacing w:after="40"/>
            </w:pPr>
            <w:r>
              <w:rPr>
                <w:rFonts w:ascii="Noto Sans" w:hAnsi="Noto Sans" w:eastAsia="Arial Unicode MS" w:cs="Noto Sans"/>
                <w:sz w:val="17"/>
              </w:rPr>
              <w:t>Kamer 218, Gebouw 3, Nr. 336 Tianjiao Road, Lin-gang Speciale Gebied van de China (Shanghai) Pilot Vrijhandelszone, China</w:t>
            </w:r>
          </w:p>
        </w:tc>
      </w:tr>
    </w:tbl>
    <w:p>
      <w:pPr>
        <w:spacing w:after="40"/>
      </w:pPr>
    </w:p>
    <w:p>
      <w:pPr>
        <w:keepLines w:val="0"/>
      </w:pPr>
      <w:r>
        <w:rPr>
          <w:rFonts w:ascii="Noto Sans" w:hAnsi="Noto Sans" w:eastAsia="Arial Unicode MS" w:cs="Noto Sans"/>
          <w:b w:val="0"/>
        </w:rPr>
        <w:t>De juridische index op de officiële website bevat een centraal overzicht van het uniforme DAWNBLOOM-privacybeleid V8, dat het spel, de zes apps, de officiële website, accounts, de gemeenschap en klantenservice omvat, de Gebruiksvoorwaarden voor DAWNBLOOM-producten en -diensten, de Servicevoorwaarden voor DAWNBLOOM Browser, de Spelersgedragscode en regels voor sancties bij overtredingen, de Verkoop- en terugbetalingsvoorwaarden, het Beleid voor cookies en vergelijkbare technologieën, de Richtlijn voor afgeleide creaties en faninhoud, de Mededeling over officiële kanalen en fraudepreventie en dit document. Het specifieke toepassingsgebied, de versie en toelichtingen op productniveau worden bepaald door de betreffende officiële pagina's; browserspecifieke voorwaarden passen spelregels niet toe op gewoon webbrowsen.</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Anti-fraude herinnering: De officiële DAWNBLOOM, de Dawn Spirit en haar personeel zullen nooit uw accountwachtwoord, betalingswachtwoord, volledige bankkaartgegevens of een complete eenmalige verificatiecode via privéberichten vragen. Als u iemand tegenkomt die beweert een "GM", "klantenservice" of "officiële vertegenwoordiger" te zijn en u vraagt geld privé over te maken, ongeverifieerde software te installeren, uw scherm te delen of wachtwoorden of volledige verificatiecodes te verstrekken, stop dan onmiddellijk alle acties en verifieer het verzoek via de officiële website of officiële klantenservicekanalen.</w:t>
            </w:r>
          </w:p>
        </w:tc>
      </w:tr>
    </w:tbl>
    <w:p>
      <w:pPr>
        <w:spacing w:after="40"/>
      </w:pPr>
    </w:p>
    <w:p>
      <w:pPr>
        <w:pStyle w:val="Heading1"/>
        <w:keepLines w:val="0"/>
      </w:pPr>
      <w:r>
        <w:rPr>
          <w:rFonts w:ascii="Noto Sans" w:hAnsi="Noto Sans" w:eastAsia="Arial Unicode MS" w:cs="Noto Sans"/>
          <w:b w:val="0"/>
        </w:rPr>
        <w:t>2. Intellectuele eigendom en merkidentiteit van DAWNBLOOM</w:t>
      </w:r>
    </w:p>
    <w:p>
      <w:pPr>
        <w:keepLines w:val="0"/>
      </w:pPr>
      <w:r>
        <w:rPr>
          <w:rFonts w:ascii="Noto Sans" w:hAnsi="Noto Sans" w:eastAsia="Arial Unicode MS" w:cs="Noto Sans"/>
          <w:b w:val="0"/>
        </w:rPr>
        <w:t>Behoudens anders expliciet gemarkeerd of eigendom van een derde partij, wordt de inhoud van DAWNBLOOM en haar officiële website, clientapplicatie en promotiekanaal – inclusief spelnamen, logo's, personages, Phantom Beasts, kaarten, werelden, verhaallijnen, copywriting, kunstwerken, interfaces, iconen, animaties, muziek, geluidseffecten, video's, visueel ontwerp van de website, softwarecode, databasestructuur en andere originele en creatieve elementen – beschermd door auteursrechten, merkenrecht, de Wet ter bestrijding van oneerlijke concurrentie en andere toepasselijke wetten.</w:t>
      </w:r>
    </w:p>
    <w:p>
      <w:pPr>
        <w:keepLines w:val="0"/>
      </w:pPr>
      <w:r>
        <w:rPr>
          <w:rFonts w:ascii="Noto Sans" w:hAnsi="Noto Sans" w:eastAsia="Arial Unicode MS" w:cs="Noto Sans"/>
          <w:b w:val="0"/>
        </w:rPr>
        <w:t>Materiaal in eigendom van DAWNBLOOM omvat ook de namen, pictogrammen, interfaces, clientontwerpen, productpagina's, gepubliceerde screenshots en code van de zes apps. Nieuwsrapporten, websites bezocht in de Browser, gebruikersmail en mail-providerinhoud worden geen eigendom van DAWNBLOOM alleen omdat een app ze weergeeft.</w:t>
      </w:r>
    </w:p>
    <w:p>
      <w:pPr>
        <w:keepLines w:val="0"/>
      </w:pPr>
      <w:r>
        <w:rPr>
          <w:rFonts w:ascii="Noto Sans" w:hAnsi="Noto Sans" w:eastAsia="Arial Unicode MS" w:cs="Noto Sans"/>
          <w:b w:val="0"/>
        </w:rPr>
        <w:t>"DAWNBLOOM" "DAWNBLOOM" en gerelateerde grafische merken dienen als officiële merkidentificatoren voor het project. De merkaanvragen, registraties en beschermingsgebied ondergaan de definitieve goedkeuring en aangewezen goederen en diensten zoals bepaald door de nationale intellectuele-eigendomsadministratieautoriteiten. Het geregistreerde merkteken (®) en vergelijkbare aanduidingen mogen alleen worden gebruikt wanneer het merk juridisch is goedgekeurd en geregistreerd, en binnen het officieel aangewezen bereik wordt gebruikt; geen enkel merk dat momenteel in aanvraag, onderzoek of afwachting van definitieve goedkeuring is, mag worden gepromoot op een manier die het publiek zou kunnen misleiden te geloven dat zij exclusieve merkrechten hebben verkregen.</w:t>
      </w:r>
    </w:p>
    <w:p>
      <w:pPr>
        <w:keepLines w:val="0"/>
      </w:pPr>
      <w:r>
        <w:rPr>
          <w:rFonts w:ascii="Noto Sans" w:hAnsi="Noto Sans" w:eastAsia="Arial Unicode MS" w:cs="Noto Sans"/>
          <w:b w:val="0"/>
        </w:rPr>
        <w:t>De rechtenverklaringen in dit document breiden de exclusieve rechten die bij de wet zijn verleend niet uit, noch beperken zij rechtmatige, redelijke gebruiken zoals citaten, commentaar, nieuwsverslaggeving of andere vormen van gebruik waarvoor geen aparte toestemming vereist is.</w:t>
      </w:r>
    </w:p>
    <w:p>
      <w:pPr>
        <w:pStyle w:val="Heading1"/>
        <w:keepLines w:val="0"/>
      </w:pPr>
      <w:r>
        <w:rPr>
          <w:rFonts w:ascii="Noto Sans" w:hAnsi="Noto Sans" w:eastAsia="Arial Unicode MS" w:cs="Noto Sans"/>
          <w:b w:val="0"/>
        </w:rPr>
        <w:t>3. Vrije redistributielicentie voor officieel openbare inhoud</w:t>
      </w:r>
    </w:p>
    <w:p>
      <w:pPr>
        <w:keepLines w:val="0"/>
      </w:pPr>
      <w:r>
        <w:rPr>
          <w:rFonts w:ascii="Noto Sans" w:hAnsi="Noto Sans" w:eastAsia="Arial Unicode MS" w:cs="Noto Sans"/>
          <w:b w:val="0"/>
        </w:rPr>
        <w:t>DAWNBLOOM verwelkomt spelers, media, streamers, gemeenschappen en contentcreators om publiek beschikbare game-informatie te verspreiden. Voor inhoud die officieel is vrijgegeven via de officiële website, officiële communityplatforms of officiële sociale-mediakanalen, en die verder geen gebruiksbeperkingen heeft gespecificeerd, verleent de exploitant hierbij een niet-exclusief, royaltyvrij, wereldwijd licentie voor herpublicatie en delen, zonder behoefte aan voorafgaande goedkeuring:</w:t>
      </w:r>
    </w:p>
    <w:p>
      <w:pPr>
        <w:pStyle w:val="ListBullet"/>
        <w:keepLines w:val="0"/>
      </w:pPr>
      <w:r>
        <w:rPr>
          <w:rFonts w:ascii="Noto Sans" w:hAnsi="Noto Sans" w:eastAsia="Arial Unicode MS" w:cs="Noto Sans"/>
          <w:b w:val="0"/>
        </w:rPr>
        <w:t>Officiële nieuwsberichten, aankondigingen, versiebeheersnotities en informatie over openbare evenementen;</w:t>
      </w:r>
    </w:p>
    <w:p>
      <w:pPr>
        <w:pStyle w:val="ListBullet"/>
        <w:keepLines w:val="0"/>
      </w:pPr>
      <w:r>
        <w:rPr>
          <w:rFonts w:ascii="Noto Sans" w:hAnsi="Noto Sans" w:eastAsia="Arial Unicode MS" w:cs="Noto Sans"/>
          <w:b w:val="0"/>
        </w:rPr>
        <w:t>Officiële openbare handleidingen, veelgestelde vragen (FAQ) en regelverklaringen zichtbaar voor spelers;</w:t>
      </w:r>
    </w:p>
    <w:p>
      <w:pPr>
        <w:pStyle w:val="ListBullet"/>
        <w:keepLines w:val="0"/>
      </w:pPr>
      <w:r>
        <w:rPr>
          <w:rFonts w:ascii="Noto Sans" w:hAnsi="Noto Sans" w:eastAsia="Arial Unicode MS" w:cs="Noto Sans"/>
          <w:b w:val="0"/>
        </w:rPr>
        <w:t>Officiële promotieschermafbeeldingen, posters, banners en socialmediamaterialen die worden gebruikt voor openbare verspreiding;</w:t>
      </w:r>
    </w:p>
    <w:p>
      <w:pPr>
        <w:pStyle w:val="ListBullet"/>
        <w:keepLines w:val="0"/>
      </w:pPr>
      <w:r>
        <w:rPr>
          <w:rFonts w:ascii="Noto Sans" w:hAnsi="Noto Sans" w:eastAsia="Arial Unicode MS" w:cs="Noto Sans"/>
          <w:b w:val="0"/>
        </w:rPr>
        <w:t>Andere materialen die expliciet door de exploitant als openbaar distribueerbaar zijn gemarkeerd.</w:t>
      </w:r>
    </w:p>
    <w:p>
      <w:pPr>
        <w:keepLines w:val="0"/>
      </w:pPr>
      <w:r>
        <w:rPr>
          <w:rFonts w:ascii="Noto Sans" w:hAnsi="Noto Sans" w:eastAsia="Arial Unicode MS" w:cs="Noto Sans"/>
          <w:b w:val="0"/>
        </w:rPr>
        <w:t>Voor aanpassing aan artikelen, video's, livestreams, sociale media of andere formaten kunnen noodzakelijke schaling, bijsnijden, compressie, ondertiteling of formaatconversie worden uitgevoerd; echter mag de oorspronkelijke intentie van de officiële inhoud niet worden vervormd, mogen officiële verklaringen niet worden vervalst, mag geen bronverwarring worden veroorzaakt, en mag zich niet voordoen als de officiële identiteit. Het is ook verboden het publiek te misleiden met de gedachte dat enige gerelateerde inhoud, producten of diensten officiële autorisatie, certificering of goedkeuring van DAWNBLOOM hebben verkregen.</w:t>
      </w:r>
    </w:p>
    <w:p>
      <w:pPr>
        <w:pStyle w:val="Heading1"/>
        <w:keepLines w:val="0"/>
      </w:pPr>
      <w:r>
        <w:rPr>
          <w:rFonts w:ascii="Noto Sans" w:hAnsi="Noto Sans" w:eastAsia="Arial Unicode MS" w:cs="Noto Sans"/>
          <w:b w:val="0"/>
        </w:rPr>
        <w:t>3.1 Deze vrije redistributielicentie geldt NIET voor het volgende:</w:t>
      </w:r>
    </w:p>
    <w:p>
      <w:pPr>
        <w:pStyle w:val="ListBullet"/>
        <w:keepLines w:val="0"/>
      </w:pPr>
      <w:r>
        <w:rPr>
          <w:rFonts w:ascii="Noto Sans" w:hAnsi="Noto Sans" w:eastAsia="Arial Unicode MS" w:cs="Noto Sans"/>
          <w:b w:val="0"/>
        </w:rPr>
        <w:t>Het voordoen alsof men DAWNBLOOM is, het creëren van een nep-officiële website, officiële klantenservice, officieel evenement, officiële aankondiging of officiële autorisatierechtrelatie;</w:t>
      </w:r>
    </w:p>
    <w:p>
      <w:pPr>
        <w:pStyle w:val="ListBullet"/>
        <w:keepLines w:val="0"/>
      </w:pPr>
      <w:r>
        <w:rPr>
          <w:rFonts w:ascii="Noto Sans" w:hAnsi="Noto Sans" w:eastAsia="Arial Unicode MS" w:cs="Noto Sans"/>
          <w:b w:val="0"/>
        </w:rPr>
        <w:t>Elk gebruik van de naam DAWNBLOOM, logo, personages, kunstwerken of ander materiaal om ongemachtigde privé-servers, gepirateerde clientsoftware, namaakgames, scam-pagina's of commerciële diensten te creëren, te promoten of te exploiteren die gebruikers kunnen misleiden tot het geloof dat ze verbonden zijn met de officiële game, is streng verboden;</w:t>
      </w:r>
    </w:p>
    <w:p>
      <w:pPr>
        <w:pStyle w:val="ListBullet"/>
        <w:keepLines w:val="0"/>
      </w:pPr>
      <w:r>
        <w:rPr>
          <w:rFonts w:ascii="Noto Sans" w:hAnsi="Noto Sans" w:eastAsia="Arial Unicode MS" w:cs="Noto Sans"/>
          <w:b w:val="0"/>
        </w:rPr>
        <w:t>Het extraheren, verpakken, verkopen of distribueren van originele kunstbestanden, broncode, muziek/geluidseffect-bronbestanden, lettertypebestanden, ongepubliceerde materialen, interne planningsdocumenten, backendgegevens, ongepubliceerde waarschijnlijkheidstabellen, interne formules, vermenigvuldigers of andere niet-openbare activa;</w:t>
      </w:r>
    </w:p>
    <w:p>
      <w:pPr>
        <w:pStyle w:val="ListBullet"/>
        <w:keepLines w:val="0"/>
      </w:pPr>
      <w:r>
        <w:rPr>
          <w:rFonts w:ascii="Noto Sans" w:hAnsi="Noto Sans" w:eastAsia="Arial Unicode MS" w:cs="Noto Sans"/>
          <w:b w:val="0"/>
        </w:rPr>
        <w:t>Het wijzigen van officiële installatiepakketten, patches of uitvoerbare bestanden en deze opnieuw distribueren onder de naam van een officiële versie;</w:t>
      </w:r>
    </w:p>
    <w:p>
      <w:pPr>
        <w:pStyle w:val="ListBullet"/>
        <w:keepLines w:val="0"/>
      </w:pPr>
      <w:r>
        <w:rPr>
          <w:rFonts w:ascii="Noto Sans" w:hAnsi="Noto Sans" w:eastAsia="Arial Unicode MS" w:cs="Noto Sans"/>
          <w:b w:val="0"/>
        </w:rPr>
        <w:t>Het gebruik van officiële materialen voor fraude, kwaadwillige doorverwijzing van verkeer, illegale transacties, inbreuk op goederenrechten of enig ander gebruik dat duidelijk afdoet aan de veiligheid van spelers of de legitieme belangen van het project.</w:t>
      </w:r>
    </w:p>
    <w:p>
      <w:pPr>
        <w:keepLines w:val="0"/>
      </w:pPr>
      <w:r>
        <w:rPr>
          <w:rFonts w:ascii="Noto Sans" w:hAnsi="Noto Sans" w:eastAsia="Arial Unicode MS" w:cs="Noto Sans"/>
          <w:b w:val="0"/>
        </w:rPr>
        <w:t>Normale livestreams, opgenomen streams, gidsvideo's, commentaren, discussies over fanfiction en community-deling door spelers vallen niet onder aanvullende beperkingen volgens deze licentie; wanneer dit gebruik third-party muziek, lettertypen, platformlogo's of ander third-party materiaal omvat, moet dit gebruik eveneens voldoen aan de regels van de respectieve rechthebbenden.</w:t>
      </w:r>
    </w:p>
    <w:p>
      <w:pPr>
        <w:pStyle w:val="Heading1"/>
        <w:keepLines w:val="0"/>
      </w:pPr>
      <w:r>
        <w:rPr>
          <w:rFonts w:ascii="Noto Sans" w:hAnsi="Noto Sans" w:eastAsia="Arial Unicode MS" w:cs="Noto Sans"/>
          <w:b w:val="0"/>
        </w:rPr>
        <w:t>4. Door spelers gegenereerde inhoud, DAWNBLOOM Community en copyrightklachten</w:t>
      </w:r>
    </w:p>
    <w:p>
      <w:pPr>
        <w:keepLines w:val="0"/>
      </w:pPr>
      <w:r>
        <w:rPr>
          <w:rFonts w:ascii="Noto Sans" w:hAnsi="Noto Sans" w:eastAsia="Arial Unicode MS" w:cs="Noto Sans"/>
          <w:b w:val="0"/>
        </w:rPr>
        <w:t>"DAWNBLOOM Community" is de officiële naam voor de spelersgemeenschap van "DAWNBLOOM"; deze naam zal fungeren als een formele gemeenschapsmerk en blijft van kracht ongeacht eventuele wijzigingen in de merknaam van het spel. DAWNBLOOM Community staat spelers toe om afbeeldingen, gidsen, posts, commentaren en andere inhoud te uploaden conform de gemeenschapsregels. Spelers behouden in beginsel de rechten die zij wettelijk hebben op hun oorspronkelijke inhoud; specifieke richtlijnen voor licenties en gebruik zijn beschikbaar in de "Voorwaarden voor Gebruik van de Officiële Website en DAWNBLOOM Community".</w:t>
      </w:r>
    </w:p>
    <w:p>
      <w:pPr>
        <w:keepLines w:val="0"/>
      </w:pPr>
      <w:r>
        <w:rPr>
          <w:rFonts w:ascii="Noto Sans" w:hAnsi="Noto Sans" w:eastAsia="Arial Unicode MS" w:cs="Noto Sans"/>
          <w:b w:val="0"/>
        </w:rPr>
        <w:t>Als u van mening bent dat door gebruikers gegenereerde inhoud op de officiële DAWNBLOOM Community of andere officiële DAWNBLOOM-pagina's inbreuk maakt op uw auteursrechten, merkenrechten, portretrechten, eerzame rechten of andere legitieme rechten en belangen, kunt u een klacht indienen via het officiële juridische/contactkanaal voor auteursrechten. Ter verificatie raden we aan het volgende te verstrekken:</w:t>
      </w:r>
    </w:p>
    <w:p>
      <w:pPr>
        <w:pStyle w:val="ListBullet"/>
        <w:keepLines w:val="0"/>
      </w:pPr>
      <w:r>
        <w:rPr>
          <w:rFonts w:ascii="Noto Sans" w:hAnsi="Noto Sans" w:eastAsia="Arial Unicode MS" w:cs="Noto Sans"/>
          <w:b w:val="0"/>
        </w:rPr>
        <w:t>De naam van de rechthebbende of entiteit en contactgegevens, inclusief e-mail, telefoon of andere contactdetails;</w:t>
      </w:r>
    </w:p>
    <w:p>
      <w:pPr>
        <w:pStyle w:val="ListBullet"/>
        <w:keepLines w:val="0"/>
      </w:pPr>
      <w:r>
        <w:rPr>
          <w:rFonts w:ascii="Noto Sans" w:hAnsi="Noto Sans" w:eastAsia="Arial Unicode MS" w:cs="Noto Sans"/>
          <w:b w:val="0"/>
        </w:rPr>
        <w:t>Bewijsstukken die eigendom of autorisatie aannemelijk maken;</w:t>
      </w:r>
    </w:p>
    <w:p>
      <w:pPr>
        <w:pStyle w:val="ListBullet"/>
        <w:keepLines w:val="0"/>
      </w:pPr>
      <w:r>
        <w:rPr>
          <w:rFonts w:ascii="Noto Sans" w:hAnsi="Noto Sans" w:eastAsia="Arial Unicode MS" w:cs="Noto Sans"/>
          <w:b w:val="0"/>
        </w:rPr>
        <w:t>De URL van de geklaagde inhoud, post-ID, screenshot of andere nauwkeurige identificatiegegevens;</w:t>
      </w:r>
    </w:p>
    <w:p>
      <w:pPr>
        <w:pStyle w:val="ListBullet"/>
        <w:keepLines w:val="0"/>
      </w:pPr>
      <w:r>
        <w:rPr>
          <w:rFonts w:ascii="Noto Sans" w:hAnsi="Noto Sans" w:eastAsia="Arial Unicode MS" w:cs="Noto Sans"/>
          <w:b w:val="0"/>
        </w:rPr>
        <w:t>Een korte verklaring betreffende de beweerde inbreuk en de gewenste actie;</w:t>
      </w:r>
    </w:p>
    <w:p>
      <w:pPr>
        <w:pStyle w:val="ListBullet"/>
        <w:keepLines w:val="0"/>
      </w:pPr>
      <w:r>
        <w:rPr>
          <w:rFonts w:ascii="Noto Sans" w:hAnsi="Noto Sans" w:eastAsia="Arial Unicode MS" w:cs="Noto Sans"/>
          <w:b w:val="0"/>
        </w:rPr>
        <w:t>Een verklaring ter bevestiging van de nauwkeurigheid en echtheid van de klacht, en bereidheid om verantwoordelijkheid te dragen voor eventuele kwaadwillige of valse claims.</w:t>
      </w:r>
    </w:p>
    <w:p>
      <w:pPr>
        <w:keepLines w:val="0"/>
      </w:pPr>
      <w:r>
        <w:rPr>
          <w:rFonts w:ascii="Noto Sans" w:hAnsi="Noto Sans" w:eastAsia="Arial Unicode MS" w:cs="Noto Sans"/>
          <w:b w:val="0"/>
        </w:rPr>
        <w:t>Na ontvangst van een bericht met basisverifieerbare informatie, dient de exploitant, gebaseerd op de aard van de inhoud, voorlopig bewijs en toepasselijke wetgeving, onmiddellijk redelijke maatregelen te nemen, zoals het contacteren van de inhoudspublisher, het beperken van de weergave, tijdelijk blokkeren, verwijderen van inhoud, het verbreken van links, het bewaren van bewijs, het herstellen van per ongeluk verwijderde inhoud, het bieden van kanalen voor beroep of tegenmeldingen, of het afwijzen van duidelijk ongegronde klachten.</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Op basis van de huidige Chinese wetgeving en rechtspraak inzake auteursrechten op internet wordt het mechanisme 'melding-verwijdering' benadrukt. Auteursrechtelijke inbreukmeldingen moeten informatie bevatten die toereikend is om de inhoud te identificeren, evenals voorlopig bewijs dat de claim van rechten of inbreuk onderbouwt; bij ontvangst van een geldige melding moet het platform onmiddellijk noodzakelijke maatregelen nemen op basis van de specifieke omstandigheden.</w:t>
            </w:r>
          </w:p>
        </w:tc>
      </w:tr>
    </w:tbl>
    <w:p>
      <w:pPr>
        <w:spacing w:after="40"/>
      </w:pPr>
    </w:p>
    <w:p>
      <w:pPr>
        <w:pStyle w:val="Heading1"/>
        <w:keepLines w:val="0"/>
      </w:pPr>
      <w:r>
        <w:rPr>
          <w:rFonts w:ascii="Noto Sans" w:hAnsi="Noto Sans" w:eastAsia="Arial Unicode MS" w:cs="Noto Sans"/>
          <w:b w:val="0"/>
        </w:rPr>
        <w:t>5. Copyrightklachten van gebruikers in de Verenigde Staten</w:t>
      </w:r>
    </w:p>
    <w:p>
      <w:pPr>
        <w:keepLines w:val="0"/>
      </w:pPr>
      <w:r>
        <w:rPr>
          <w:rFonts w:ascii="Noto Sans" w:hAnsi="Noto Sans" w:eastAsia="Arial Unicode MS" w:cs="Noto Sans"/>
          <w:b w:val="0"/>
        </w:rPr>
        <w:t xml:space="preserve">Als u denkt dat inhoud op DAWNBLOOM Community of de officiële website inbreuk maakt op uw auteursrecht, stuur dan de URL van de inhoud, details van het beschermde werk, bewijs van eigendom of autorisatie en een contact-e-mailadres naar </w:t>
      </w:r>
      <w:hyperlink r:id="rId18">
        <w:r>
          <w:rPr>
            <w:rFonts w:ascii="Noto Sans" w:hAnsi="Noto Sans" w:eastAsia="Arial Unicode MS"/>
            <w:b w:val="0"/>
          </w:rPr>
          <w:t xml:space="preserve">legal@dawnbloom.net</w:t>
        </w:r>
      </w:hyperlink>
      <w:r>
        <w:rPr>
          <w:rFonts w:ascii="Noto Sans" w:hAnsi="Noto Sans" w:eastAsia="Arial Unicode MS" w:cs="Noto Sans"/>
          <w:b w:val="0"/>
        </w:rPr>
        <w:t xml:space="preserve">. We zullen dit beoordelen en reageren volgens de toepasselijke regels.</w:t>
      </w:r>
    </w:p>
    <w:p>
      <w:pPr>
        <w:keepLines w:val="0"/>
      </w:pPr>
      <w:hyperlink r:id="rId18">
        <w:r>
          <w:rPr>
            <w:rFonts w:ascii="Noto Sans" w:hAnsi="Noto Sans" w:eastAsia="Arial Unicode MS"/>
            <w:b w:val="0"/>
          </w:rPr>
          <w:t xml:space="preserve">legal@dawnbloom.net</w:t>
        </w:r>
      </w:hyperlink>
      <w:r>
        <w:rPr>
          <w:rFonts w:ascii="Noto Sans" w:hAnsi="Noto Sans" w:eastAsia="Arial Unicode MS" w:cs="Noto Sans"/>
          <w:b w:val="0"/>
        </w:rPr>
        <w:t xml:space="preserve"> is momenteel het algemene kanaal voor auteursrechtklachten. Deze pagina stelt niet dat een aangewezen agent is geregistreerd onder DMCA §512, noch presenteert het het algemene mailbox als een geregistreerde aangewezen agent.</w:t>
      </w:r>
    </w:p>
    <w:p>
      <w:pPr>
        <w:keepLines w:val="0"/>
      </w:pPr>
      <w:r>
        <w:rPr>
          <w:rFonts w:ascii="Noto Sans" w:hAnsi="Noto Sans" w:eastAsia="Arial Unicode MS" w:cs="Noto Sans"/>
          <w:b w:val="0"/>
        </w:rPr>
        <w:t>Indien een toegewijd Amerikaans proces voor melding, verwijdering en tegen-melding wordt geïntroduceerd, zullen de reikwijdte, vereiste informatie en verwerkingsstappen worden gepubliceerd op de formele toegangspunt.</w:t>
      </w:r>
    </w:p>
    <w:p>
      <w:pPr>
        <w:keepLines w:val="0"/>
      </w:pPr>
      <w:r>
        <w:rPr>
          <w:rFonts w:ascii="Noto Sans" w:hAnsi="Noto Sans" w:eastAsia="Arial Unicode MS" w:cs="Noto Sans"/>
          <w:b w:val="0"/>
        </w:rPr>
        <w:t>Als u van mening bent dat uw inhoud per ongeluk is verwijderd, kunt u ook een verzoek tot herziening indienen via dat e-mailadres met de originele inhouds-URL, de verwijderingsmelding, de grondslag van uw rechten of autorisatie, en contactgegevens.</w:t>
      </w:r>
    </w:p>
    <w:p>
      <w:pPr>
        <w:pStyle w:val="Heading1"/>
        <w:keepLines w:val="0"/>
      </w:pPr>
      <w:r>
        <w:rPr>
          <w:rFonts w:ascii="Noto Sans" w:hAnsi="Noto Sans" w:eastAsia="Arial Unicode MS" w:cs="Noto Sans"/>
          <w:b w:val="0"/>
        </w:rPr>
        <w:t>6. Japans auteursrecht en door spelers gegenereerde inhoud</w:t>
      </w:r>
    </w:p>
    <w:p>
      <w:pPr>
        <w:keepLines w:val="0"/>
      </w:pPr>
      <w:r>
        <w:rPr>
          <w:rFonts w:ascii="Noto Sans" w:hAnsi="Noto Sans" w:eastAsia="Arial Unicode MS" w:cs="Noto Sans"/>
          <w:b w:val="0"/>
        </w:rPr>
        <w:t>Bij het verstrekken van inhoud aan Japanse gebruikers moet elk openbaar herposten, uploaden of gebruik van werken van derden over het algemeen voldoen aan de Japanse Auteurswet en het door de respectieve rechthebbenden gehouden licentiebereik. De door DAWNBLOOM verleende licentie voor het herposten van officiële materialen geldt alleen voor de officiële inhoud die expliciet is toegestaan in Sectie 3 van dit document en vormt geen autorisatie van enige andere rechthebbende.</w:t>
      </w:r>
    </w:p>
    <w:p>
      <w:pPr>
        <w:keepLines w:val="0"/>
      </w:pPr>
      <w:r>
        <w:rPr>
          <w:rFonts w:ascii="Noto Sans" w:hAnsi="Noto Sans" w:eastAsia="Arial Unicode MS" w:cs="Noto Sans"/>
          <w:b w:val="0"/>
        </w:rPr>
        <w:t>Als inhoud die door Japanse gebruikers is geüpload door rechthebbenden wordt beklaagd, kan de exploitant verificatie en afhandeling uitvoeren overeenkomstig de toepasselijke wetten, platformregels en de in Sectie 4 van dit document gespecificeerde mechanismen. Voor de toepasselijke grenzen van fanfiction, live streaming, videobewerking en ander fanwerk, zie de huidige Richtlijnen voor faninhoud en afgeleide werken.</w:t>
      </w:r>
    </w:p>
    <w:p>
      <w:pPr>
        <w:pStyle w:val="Heading1"/>
        <w:keepLines w:val="0"/>
      </w:pPr>
      <w:r>
        <w:rPr>
          <w:rFonts w:ascii="Noto Sans" w:hAnsi="Noto Sans" w:eastAsia="Arial Unicode MS" w:cs="Noto Sans"/>
          <w:b w:val="0"/>
        </w:rPr>
        <w:t>7. Verklaringen over handelsmerken en merken van derden</w:t>
      </w:r>
    </w:p>
    <w:p>
      <w:pPr>
        <w:keepLines w:val="0"/>
      </w:pPr>
      <w:r>
        <w:rPr>
          <w:rFonts w:ascii="Noto Sans" w:hAnsi="Noto Sans" w:eastAsia="Arial Unicode MS" w:cs="Noto Sans"/>
          <w:b w:val="0"/>
        </w:rPr>
        <w:t>De DAWNBLOOM-website, clientapplicatie of promotionele materialen kunnen verwijzingen bevatten naar namen van derden, handelsmerken, dienstmerken of officiële logo's om platformcompatibiliteit, downloadpunten, betaalmethoden, communitykanalen of gerelateerde diensten te illustreren. Deze verwijzingen zijn uitsluitend bedoeld voor identificatiedoeleinden en impliceren niet dat de derde partij deelneemt aan de ontwikkeling, distributie, exploitatie, sponsoring, certificering of goedkeuring van DAWNBLOOM, tenzij uitdrukkelijk schriftelijk anders vermeld.</w:t>
      </w:r>
    </w:p>
    <w:p>
      <w:pPr>
        <w:keepLines w:val="0"/>
      </w:pPr>
      <w:r>
        <w:rPr>
          <w:rFonts w:ascii="Noto Sans" w:hAnsi="Noto Sans" w:eastAsia="Arial Unicode MS" w:cs="Noto Sans"/>
          <w:b w:val="0"/>
        </w:rPr>
        <w:t>Namen en merken zoals Apple, Google, Microsoft, Steam, App Store, Google Play, Gmail en Outlook behoren toe aan hun respectieve eigenaren. Een verwijzing naar compatibiliteit of een winkelkoppeling impliceert geen partnerschap of goedkeuring.</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Voorbeelden van identificeerders van derden</w:t>
            </w:r>
          </w:p>
        </w:tc>
        <w:tc>
          <w:tcPr>
            <w:tcW w:type="dxa" w:w="4873"/>
            <w:vAlign w:val="center"/>
            <w:shd w:fill="DCE8F7"/>
          </w:tcPr>
          <w:p>
            <w:pPr>
              <w:keepNext/>
              <w:spacing w:after="40"/>
            </w:pPr>
            <w:r>
              <w:rPr>
                <w:rFonts w:ascii="Noto Sans" w:hAnsi="Noto Sans" w:eastAsia="Arial Unicode MS" w:cs="Noto Sans"/>
                <w:b/>
                <w:sz w:val="17"/>
              </w:rPr>
              <w:t>Uitleg</w:t>
            </w:r>
          </w:p>
        </w:tc>
      </w:tr>
      <w:tr>
        <w:trPr>
          <w:cantSplit/>
        </w:trPr>
        <w:tc>
          <w:tcPr>
            <w:tcW w:type="dxa" w:w="4873"/>
            <w:vAlign w:val="center"/>
          </w:tcPr>
          <w:p>
            <w:pPr>
              <w:spacing w:after="40"/>
            </w:pPr>
            <w:r>
              <w:rPr>
                <w:rFonts w:ascii="Noto Sans" w:hAnsi="Noto Sans" w:eastAsia="Arial Unicode MS" w:cs="Noto Sans"/>
                <w:sz w:val="17"/>
              </w:rPr>
              <w:t>Apple, App Store, Apple Pay, iPhone, iPad, Mac, enz.</w:t>
            </w:r>
          </w:p>
        </w:tc>
        <w:tc>
          <w:tcPr>
            <w:tcW w:type="dxa" w:w="4873"/>
            <w:vAlign w:val="center"/>
          </w:tcPr>
          <w:p>
            <w:pPr>
              <w:spacing w:after="40"/>
            </w:pPr>
            <w:r>
              <w:rPr>
                <w:rFonts w:ascii="Noto Sans" w:hAnsi="Noto Sans" w:eastAsia="Arial Unicode MS" w:cs="Noto Sans"/>
                <w:sz w:val="17"/>
              </w:rPr>
              <w:t>De genoemde namen en logo's zijn eigendom van Apple Inc. of haar gelieerde rechthebbenden. Bij het gebruik van officiële logo's zoals App Store of Apple Pay moet strikt worden voldaan aan de nieuwste merk- en juridische richtlijnen van Apple.</w:t>
            </w:r>
          </w:p>
        </w:tc>
      </w:tr>
      <w:tr>
        <w:trPr>
          <w:cantSplit/>
        </w:trPr>
        <w:tc>
          <w:tcPr>
            <w:tcW w:type="dxa" w:w="4873"/>
            <w:vAlign w:val="center"/>
          </w:tcPr>
          <w:p>
            <w:pPr>
              <w:spacing w:after="40"/>
            </w:pPr>
            <w:r>
              <w:rPr>
                <w:rFonts w:ascii="Noto Sans" w:hAnsi="Noto Sans" w:eastAsia="Arial Unicode MS" w:cs="Noto Sans"/>
                <w:sz w:val="17"/>
              </w:rPr>
              <w:t>Steam, Steam-logo, Valve</w:t>
            </w:r>
          </w:p>
        </w:tc>
        <w:tc>
          <w:tcPr>
            <w:tcW w:type="dxa" w:w="4873"/>
            <w:vAlign w:val="center"/>
          </w:tcPr>
          <w:p>
            <w:pPr>
              <w:spacing w:after="40"/>
            </w:pPr>
            <w:r>
              <w:rPr>
                <w:rFonts w:ascii="Noto Sans" w:hAnsi="Noto Sans" w:eastAsia="Arial Unicode MS" w:cs="Noto Sans"/>
                <w:sz w:val="17"/>
              </w:rPr>
              <w:t>De genoemde namen en logo's zijn eigendom van Valve Corporation of haar gelieerde rechthebbenden. Het merk Steam mag niet worden gebruikt om sponsoring of goedkeuring door Valve voor niet-Valve-inhoud te impliceren.</w:t>
            </w:r>
          </w:p>
        </w:tc>
      </w:tr>
      <w:tr>
        <w:trPr>
          <w:cantSplit/>
        </w:trPr>
        <w:tc>
          <w:tcPr>
            <w:tcW w:type="dxa" w:w="4873"/>
            <w:vAlign w:val="center"/>
          </w:tcPr>
          <w:p>
            <w:pPr>
              <w:spacing w:after="40"/>
            </w:pPr>
            <w:r>
              <w:rPr>
                <w:rFonts w:ascii="Noto Sans" w:hAnsi="Noto Sans" w:eastAsia="Arial Unicode MS" w:cs="Noto Sans"/>
                <w:sz w:val="17"/>
              </w:rPr>
              <w:t>Microsoft, Windows</w:t>
            </w:r>
          </w:p>
        </w:tc>
        <w:tc>
          <w:tcPr>
            <w:tcW w:type="dxa" w:w="4873"/>
            <w:vAlign w:val="center"/>
          </w:tcPr>
          <w:p>
            <w:pPr>
              <w:spacing w:after="40"/>
            </w:pPr>
            <w:r>
              <w:rPr>
                <w:rFonts w:ascii="Noto Sans" w:hAnsi="Noto Sans" w:eastAsia="Arial Unicode MS" w:cs="Noto Sans"/>
                <w:sz w:val="17"/>
              </w:rPr>
              <w:t>De genoemde namen en logo's behoren toe aan hun respectieve rechthebbenden.</w:t>
            </w:r>
          </w:p>
        </w:tc>
      </w:tr>
      <w:tr>
        <w:trPr>
          <w:cantSplit/>
        </w:trPr>
        <w:tc>
          <w:tcPr>
            <w:tcW w:type="dxa" w:w="4873"/>
            <w:vAlign w:val="center"/>
          </w:tcPr>
          <w:p>
            <w:pPr>
              <w:spacing w:after="40"/>
            </w:pPr>
            <w:r>
              <w:rPr>
                <w:rFonts w:ascii="Noto Sans" w:hAnsi="Noto Sans" w:eastAsia="Arial Unicode MS" w:cs="Noto Sans"/>
                <w:sz w:val="17"/>
              </w:rPr>
              <w:t>Google Play, Android</w:t>
            </w:r>
          </w:p>
        </w:tc>
        <w:tc>
          <w:tcPr>
            <w:tcW w:type="dxa" w:w="4873"/>
            <w:vAlign w:val="center"/>
          </w:tcPr>
          <w:p>
            <w:pPr>
              <w:spacing w:after="40"/>
            </w:pPr>
            <w:r>
              <w:rPr>
                <w:rFonts w:ascii="Noto Sans" w:hAnsi="Noto Sans" w:eastAsia="Arial Unicode MS" w:cs="Noto Sans"/>
                <w:sz w:val="17"/>
              </w:rPr>
              <w:t>De genoemde namen en logo's behoren toe aan hun respectieve rechthebbenden.</w:t>
            </w:r>
          </w:p>
        </w:tc>
      </w:tr>
      <w:tr>
        <w:trPr>
          <w:cantSplit/>
        </w:trPr>
        <w:tc>
          <w:tcPr>
            <w:tcW w:type="dxa" w:w="4873"/>
            <w:vAlign w:val="center"/>
          </w:tcPr>
          <w:p>
            <w:pPr>
              <w:spacing w:after="40"/>
            </w:pPr>
            <w:r>
              <w:rPr>
                <w:rFonts w:ascii="Noto Sans" w:hAnsi="Noto Sans" w:eastAsia="Arial Unicode MS" w:cs="Noto Sans"/>
                <w:sz w:val="17"/>
              </w:rPr>
              <w:t>WeChat, Alipay, UnionPay, Visa, Mastercard</w:t>
            </w:r>
          </w:p>
        </w:tc>
        <w:tc>
          <w:tcPr>
            <w:tcW w:type="dxa" w:w="4873"/>
            <w:vAlign w:val="center"/>
          </w:tcPr>
          <w:p>
            <w:pPr>
              <w:spacing w:after="40"/>
            </w:pPr>
            <w:r>
              <w:rPr>
                <w:rFonts w:ascii="Noto Sans" w:hAnsi="Noto Sans" w:eastAsia="Arial Unicode MS" w:cs="Noto Sans"/>
                <w:sz w:val="17"/>
              </w:rPr>
              <w:t>Deze worden uitsluitend aangegeven als potentiële betaalmethoden of integraties van diensten van derden; de handelsmerken behoren toe aan hun respectieve rechthebbenden.</w:t>
            </w:r>
          </w:p>
        </w:tc>
      </w:tr>
      <w:tr>
        <w:trPr>
          <w:cantSplit/>
        </w:trPr>
        <w:tc>
          <w:tcPr>
            <w:tcW w:type="dxa" w:w="4873"/>
            <w:vAlign w:val="center"/>
          </w:tcPr>
          <w:p>
            <w:pPr>
              <w:spacing w:after="40"/>
            </w:pPr>
            <w:r>
              <w:rPr>
                <w:rFonts w:ascii="Noto Sans" w:hAnsi="Noto Sans" w:eastAsia="Arial Unicode MS" w:cs="Noto Sans"/>
                <w:sz w:val="17"/>
              </w:rPr>
              <w:t>WhatsApp, Instagram, Facebook, Threads, YouTube, Telegram, X, Xiaohongshu, Douyin, enz.</w:t>
            </w:r>
          </w:p>
        </w:tc>
        <w:tc>
          <w:tcPr>
            <w:tcW w:type="dxa" w:w="4873"/>
            <w:vAlign w:val="center"/>
          </w:tcPr>
          <w:p>
            <w:pPr>
              <w:spacing w:after="40"/>
            </w:pPr>
            <w:r>
              <w:rPr>
                <w:rFonts w:ascii="Noto Sans" w:hAnsi="Noto Sans" w:eastAsia="Arial Unicode MS" w:cs="Noto Sans"/>
                <w:sz w:val="17"/>
              </w:rPr>
              <w:t>Deze worden uitsluitend gebruikt om officiële community- of sociale kanalen of diensten van derden te identificeren; de handelsmerken behoren toe aan hun respectieve rechthebbenden.</w:t>
            </w:r>
          </w:p>
        </w:tc>
      </w:tr>
    </w:tbl>
    <w:p>
      <w:pPr>
        <w:spacing w:after="40"/>
      </w:pPr>
    </w:p>
    <w:p>
      <w:pPr>
        <w:keepLines w:val="0"/>
      </w:pPr>
      <w:r>
        <w:rPr>
          <w:rFonts w:ascii="Noto Sans" w:hAnsi="Noto Sans" w:eastAsia="Arial Unicode MS" w:cs="Noto Sans"/>
          <w:b w:val="0"/>
        </w:rPr>
        <w:t>De exploitant zal streven naar het gebruik van officiële logo's en merka activa die door derden zijn verstrekt, en zal voldoen aan vereisten met betrekking tot grootte, afstand, kleur, etikettering en "geen impliciete goedkeuring". Richtlijnen voor merken van derden kunnen worden bijgewerkt; de officiële website moet zich houden aan de meest recente officiële richtlijnen die door de derde partij zijn uitgegeven.</w:t>
      </w:r>
    </w:p>
    <w:p>
      <w:pPr>
        <w:pStyle w:val="Heading1"/>
        <w:keepLines w:val="0"/>
      </w:pPr>
      <w:r>
        <w:rPr>
          <w:rFonts w:ascii="Noto Sans" w:hAnsi="Noto Sans" w:eastAsia="Arial Unicode MS" w:cs="Noto Sans"/>
          <w:b w:val="0"/>
        </w:rPr>
        <w:t>8. Open Source Software en verklaringen over componenten van derden</w:t>
      </w:r>
    </w:p>
    <w:p>
      <w:pPr>
        <w:keepLines w:val="0"/>
      </w:pPr>
      <w:r>
        <w:rPr>
          <w:rFonts w:ascii="Noto Sans" w:hAnsi="Noto Sans" w:eastAsia="Arial Unicode MS" w:cs="Noto Sans"/>
          <w:b w:val="0"/>
        </w:rPr>
        <w:t>De DAWNBLOOM-gamclient, server, officiële website of gerelateerde ontwikkeltools kunnen third-party open-source software, bibliotheken, frameworks, lettertypen, audio/beeldverwerkingscomponenten en andere technologieën bevatten of erop vertrouwen. Dergelijke componenten van derden blijven onderworpen aan hun respectieve licenties, auteursrechtelijke mededelingen, attributieverplichtingen en andere toepasselijke voorwaarden.</w:t>
      </w:r>
    </w:p>
    <w:p>
      <w:pPr>
        <w:keepLines w:val="0"/>
      </w:pPr>
      <w:r>
        <w:rPr>
          <w:rFonts w:ascii="Noto Sans" w:hAnsi="Noto Sans" w:eastAsia="Arial Unicode MS" w:cs="Noto Sans"/>
          <w:b w:val="0"/>
        </w:rPr>
        <w:t>De apps, website en het spel kunnen elk open-source componenten gebruiken. Kennisgevingen volgen de componenten in de daadwerkelijk gedistribueerde versie; deze licenties verlenen geen rechten aan DAWNBLOOM over ongerelateerde inhoud van derden.</w:t>
      </w:r>
    </w:p>
    <w:p>
      <w:pPr>
        <w:keepLines w:val="0"/>
      </w:pPr>
      <w:r>
        <w:rPr>
          <w:rFonts w:ascii="Noto Sans" w:hAnsi="Noto Sans" w:eastAsia="Arial Unicode MS" w:cs="Noto Sans"/>
          <w:b w:val="0"/>
        </w:rPr>
        <w:t>Bij officiële release moet de exploitant een pagina voor Open Source Notices / Open Source Software Disclosure onderhouden of een licensielijst opnemen bij de softwareverdeling, waarbij verplichtingen worden vervuld die vereist zijn door MIT, Apache, BSD, OFL, LGPL/GPL of enige andere daadwerkelijk gebruikte licentie.</w:t>
      </w:r>
    </w:p>
    <w:p>
      <w:pPr>
        <w:keepLines w:val="0"/>
      </w:pPr>
      <w:r>
        <w:rPr>
          <w:rFonts w:ascii="Noto Sans" w:hAnsi="Noto Sans" w:eastAsia="Arial Unicode MS" w:cs="Noto Sans"/>
          <w:b w:val="0"/>
        </w:rPr>
        <w:t>Open-sourceprojecten van derden, auteurs, stichtingen of rechthebbenden worden niet automatisch beschouwd als sponsors, partners, certificeerders of ondersteuners van DAWNBLOOM enkel omdat hun technologie wordt gebruikt.</w:t>
      </w:r>
    </w:p>
    <w:p>
      <w:pPr>
        <w:pStyle w:val="Heading1"/>
        <w:keepLines w:val="0"/>
      </w:pPr>
      <w:r>
        <w:rPr>
          <w:rFonts w:ascii="Noto Sans" w:hAnsi="Noto Sans" w:eastAsia="Arial Unicode MS" w:cs="Noto Sans"/>
          <w:b w:val="0"/>
        </w:rPr>
        <w:t>9. Externe links, diensten van derden en nauwkeurigheid van inhoud</w:t>
      </w:r>
    </w:p>
    <w:p>
      <w:pPr>
        <w:keepLines w:val="0"/>
      </w:pPr>
      <w:r>
        <w:rPr>
          <w:rFonts w:ascii="Noto Sans" w:hAnsi="Noto Sans" w:eastAsia="Arial Unicode MS" w:cs="Noto Sans"/>
          <w:b w:val="0"/>
        </w:rPr>
        <w:t>De officiële website kan links bevatten naar Steam, de App Store, sociale mediaplatforms, betalingsdiensten, klantenserviceplatforms of andere diensten van derden. Websites en diensten van derden worden onafhankelijk beheerd door hun respectieve entiteiten, en DAWNBLOOM kan geen controle uitoefenen over hun beschikbaarheid, inhoud, privacypraktijken, regionale beperkingen, servicevoorwaarden of beleidswijzigingen.</w:t>
      </w:r>
    </w:p>
    <w:p>
      <w:pPr>
        <w:keepLines w:val="0"/>
      </w:pPr>
      <w:r>
        <w:rPr>
          <w:rFonts w:ascii="Noto Sans" w:hAnsi="Noto Sans" w:eastAsia="Arial Unicode MS" w:cs="Noto Sans"/>
          <w:b w:val="0"/>
        </w:rPr>
        <w:t>Nieuwsbronnen, externe sites, mailproviders en appstores controleren hun eigen inhoud, accounts en voorwaarden. Officiële softwarelinks worden gepubliceerd op dawnbloom.net of in winkels die er uitdrukkelijk vanaf gekoppeld zijn.</w:t>
      </w:r>
    </w:p>
    <w:p>
      <w:pPr>
        <w:keepLines w:val="0"/>
      </w:pPr>
      <w:r>
        <w:rPr>
          <w:rFonts w:ascii="Noto Sans" w:hAnsi="Noto Sans" w:eastAsia="Arial Unicode MS" w:cs="Noto Sans"/>
          <w:b w:val="0"/>
        </w:rPr>
        <w:t>De officiële website zal alle moeite doen om de nauwkeurigheid van aankondigingen, handleidingen, downloadinstructies, compatibiliteitsinformatie en andere publiek beschikbare inhoud te waarborgen, maar het spel zal blijven worden ontwikkeld en bijgewerkt. Schermafbeeldingen, conceptkunst, testfuncties, gepland platformondersteuning en nog niet officieel uitgebrachte inhoud kunnen worden aangepast, uitgesteld of geannuleerd op basis van de werkelijke ontwikkelvoortgang. Behalve wanneer anders vereist door de wet of waar een pagina expliciet een product- of dienstverplichting vormt, vormt inhoud die tijdens de ontwikkelingsfase wordt weergegeven geen onherroepelijke garantie voor toekomstige versies.</w:t>
      </w:r>
    </w:p>
    <w:p>
      <w:pPr>
        <w:keepLines w:val="0"/>
      </w:pPr>
      <w:r>
        <w:rPr>
          <w:rFonts w:ascii="Noto Sans" w:hAnsi="Noto Sans" w:eastAsia="Arial Unicode MS" w:cs="Noto Sans"/>
          <w:b w:val="0"/>
        </w:rPr>
        <w:t>Berichten, opmerkingen, gidsen en andere door gebruikers gegenereerde inhoud (UGC) die door spelers op DAWNBLOOM Community worden geplaatst, reflecteren alleen hun individuele meningen en vertegenwoordigen niet noodzakelijk het officiële standpunt van DAWNBLOOM.</w:t>
      </w:r>
    </w:p>
    <w:p>
      <w:pPr>
        <w:pStyle w:val="Heading1"/>
        <w:keepLines w:val="0"/>
      </w:pPr>
      <w:r>
        <w:rPr>
          <w:rFonts w:ascii="Noto Sans" w:hAnsi="Noto Sans" w:eastAsia="Arial Unicode MS" w:cs="Noto Sans"/>
          <w:b w:val="0"/>
        </w:rPr>
        <w:t>10. Dawnbloom-gids en AI-spelersdiensten</w:t>
      </w:r>
    </w:p>
    <w:p>
      <w:pPr>
        <w:keepLines w:val="0"/>
      </w:pPr>
      <w:r>
        <w:rPr>
          <w:rFonts w:ascii="Noto Sans" w:hAnsi="Noto Sans" w:eastAsia="Arial Unicode MS" w:cs="Noto Sans"/>
          <w:b w:val="0"/>
        </w:rPr>
        <w:t>DAWNBLOOM AI is het merk voor het intelligente interactiesysteem en de technische diensten van ons bedrijf; DAWNBLOOM Fairy is de intelligente metgezel en interactiefiguur voor gebruikers binnen hetzelfde dienstenstelsel. DAWNBLOOM AI 2.0 duidt de openbare versie van dit intelligente dienstenstelsel aan en betekent niet dat ons bedrijf zelfstandig een groot basistaalmodel heeft getraind. ‘DAWNBLOOM Fairy’ is de intelligente spelassistent en het toegangspunt tot AI-spelersdiensten dat DAWNBLOOM aan spelers aanbiedt. Het kan vragen beantwoorden over voor spelers zichtbare spelmechanismen, opdrachten, klassen, fantasiewezens, kaarten, evenementen en spelgidsen, en kan ook helpen bij het behandelen van of begeleiden bij accountbeveiliging, spelbezittingen, opwaardeerbestellingen, afwijkende toestanden en supporttickets. De dienst is beperkt tot vragen en antwoorden over openbare spel- en productkennis, tekstcommunicatie in natuurlijke taal, begeleiding bij spelersdiensten en de daadwerkelijk beschikbare interfacefuncties van Intelligent UI; de taalondersteuning van de officiële website breidt het taalaanbod van de spelclient of van elk van de zes softwareproducten niet uit. Momenteel worden geen functies aangeboden voor het genereren of bewerken van afbeeldingen, het maken van PDF-, Word-, presentatie- of spreadsheetdocumenten of algemene kantoorautomatisering.</w:t>
      </w:r>
    </w:p>
    <w:p>
      <w:pPr>
        <w:keepLines w:val="0"/>
      </w:pPr>
      <w:r>
        <w:rPr>
          <w:rFonts w:ascii="Noto Sans" w:hAnsi="Noto Sans" w:eastAsia="Arial Unicode MS" w:cs="Noto Sans"/>
          <w:b w:val="0"/>
        </w:rPr>
        <w:t>De Dawnbloom Guide kan spelers helpen bij het oplossen van problemen, waaronder maar niet beperkt tot:</w:t>
      </w:r>
    </w:p>
    <w:p>
      <w:pPr>
        <w:pStyle w:val="ListBullet"/>
        <w:keepLines w:val="0"/>
      </w:pPr>
      <w:r>
        <w:rPr>
          <w:rFonts w:ascii="Noto Sans" w:hAnsi="Noto Sans" w:eastAsia="Arial Unicode MS" w:cs="Noto Sans"/>
          <w:b w:val="0"/>
        </w:rPr>
        <w:t>Spelmecanieken, questvoortgang, loopbaanontwikkeling, teugeldier-opleiding, kaartverkenning, evenementregels en spelstrategieën;</w:t>
      </w:r>
    </w:p>
    <w:p>
      <w:pPr>
        <w:pStyle w:val="ListBullet"/>
        <w:keepLines w:val="0"/>
      </w:pPr>
      <w:r>
        <w:rPr>
          <w:rFonts w:ascii="Noto Sans" w:hAnsi="Noto Sans" w:eastAsia="Arial Unicode MS" w:cs="Noto Sans"/>
          <w:b w:val="0"/>
        </w:rPr>
        <w:t>Anomalieën bij accountaanmelding, vergeten wachtwoorden, verificatie van e-mail- of telefoonnummer, beveiligingsrisico's van accounts en vermoedens van accountdiefstal;</w:t>
      </w:r>
    </w:p>
    <w:p>
      <w:pPr>
        <w:pStyle w:val="ListBullet"/>
        <w:keepLines w:val="0"/>
      </w:pPr>
      <w:r>
        <w:rPr>
          <w:rFonts w:ascii="Noto Sans" w:hAnsi="Noto Sans" w:eastAsia="Arial Unicode MS" w:cs="Noto Sans"/>
          <w:b w:val="0"/>
        </w:rPr>
        <w:t>Verlies, hoeveelheidsafwijkingen of statusafwijkingen van personages, items, uitrusting, spookdieren, goudmunten of magische munten;</w:t>
      </w:r>
    </w:p>
    <w:p>
      <w:pPr>
        <w:pStyle w:val="ListBullet"/>
        <w:keepLines w:val="0"/>
      </w:pPr>
      <w:r>
        <w:rPr>
          <w:rFonts w:ascii="Noto Sans" w:hAnsi="Noto Sans" w:eastAsia="Arial Unicode MS" w:cs="Noto Sans"/>
          <w:b w:val="0"/>
        </w:rPr>
        <w:t>Abnormaal verbruik, abnormale winsten, transactie-anomalieën, niet-ontvangen beloningen, anomalieën in evenementbeloningen of anomalieën in berichten of boodschappssystemen;</w:t>
      </w:r>
    </w:p>
    <w:p>
      <w:pPr>
        <w:pStyle w:val="ListBullet"/>
        <w:keepLines w:val="0"/>
      </w:pPr>
      <w:r>
        <w:rPr>
          <w:rFonts w:ascii="Noto Sans" w:hAnsi="Noto Sans" w:eastAsia="Arial Unicode MS" w:cs="Noto Sans"/>
          <w:b w:val="0"/>
        </w:rPr>
        <w:t>Opladen, bestellingen, aankopen in de winkel, ruilen en gerelateerde kwesties betreffende levering of bevestiging;</w:t>
      </w:r>
    </w:p>
    <w:p>
      <w:pPr>
        <w:pStyle w:val="ListBullet"/>
        <w:keepLines w:val="0"/>
      </w:pPr>
      <w:r>
        <w:rPr>
          <w:rFonts w:ascii="Noto Sans" w:hAnsi="Noto Sans" w:eastAsia="Arial Unicode MS" w:cs="Noto Sans"/>
          <w:b w:val="0"/>
        </w:rPr>
        <w:t>Feedback over spelbuggen, functionele storingen, crashes, verbindingsverlies of gegevensdesynchronisatie;</w:t>
      </w:r>
    </w:p>
    <w:p>
      <w:pPr>
        <w:pStyle w:val="ListBullet"/>
        <w:keepLines w:val="0"/>
      </w:pPr>
      <w:r>
        <w:rPr>
          <w:rFonts w:ascii="Noto Sans" w:hAnsi="Noto Sans" w:eastAsia="Arial Unicode MS" w:cs="Noto Sans"/>
          <w:b w:val="0"/>
        </w:rPr>
        <w:t>Bezwaren voor verlies van personages, items, phantom beasts en valuta als gevolg van accountdiefstal;</w:t>
      </w:r>
    </w:p>
    <w:p>
      <w:pPr>
        <w:pStyle w:val="ListBullet"/>
        <w:keepLines w:val="0"/>
      </w:pPr>
      <w:r>
        <w:rPr>
          <w:rFonts w:ascii="Noto Sans" w:hAnsi="Noto Sans" w:eastAsia="Arial Unicode MS" w:cs="Noto Sans"/>
          <w:b w:val="0"/>
        </w:rPr>
        <w:t>Instructies voor vragen en beroep inzake accountblokkades, beperkingen of andere abnormale statussen;</w:t>
      </w:r>
    </w:p>
    <w:p>
      <w:pPr>
        <w:pStyle w:val="ListBullet"/>
        <w:keepLines w:val="0"/>
      </w:pPr>
      <w:r>
        <w:rPr>
          <w:rFonts w:ascii="Noto Sans" w:hAnsi="Noto Sans" w:eastAsia="Arial Unicode MS" w:cs="Noto Sans"/>
          <w:b w:val="0"/>
        </w:rPr>
        <w:t>Andere kwesties die assistentie vereisen van het spelersondersteuningscentrum.</w:t>
      </w:r>
    </w:p>
    <w:p>
      <w:pPr>
        <w:keepLines w:val="0"/>
      </w:pPr>
      <w:r>
        <w:rPr>
          <w:rFonts w:ascii="Noto Sans" w:hAnsi="Noto Sans" w:eastAsia="Arial Unicode MS" w:cs="Noto Sans"/>
          <w:b w:val="0"/>
        </w:rPr>
        <w:t>Voor vragen die rechtstreeks op basis van openbare informatie kunnen worden beoordeeld, kan DAWNBLOOM Fairy onmiddellijk antwoorden of aanwijzingen voor een oplossing geven; bij vragen over accountbeveiliging, transactiegegevens, spelbezittingen, gegevensherstel, schade door diefstal, bezwaren tegen sancties en andere zaken waarvoor servergegevens moeten worden gecontroleerd, kan DAWNBLOOM Fairy helpen bij identiteitsverificatie, het ordenen van noodzakelijke informatie, het opstellen van een behandelingsprocedure, het aanmaken of doorsturen van een formeel supportticket en de verificatie op basis van servergegevens, handelingenlogboeken en andere betrouwbare gegevens. Intelligent UI combineert antwoorden met interactieve informatiekaarten, toegangspunten tot functies en bevestigingsschermen. Informatie over fantasiewezens, uitrusting, voorwerpen, persoonlijke spelgegevens en accountbeveiliging wordt uitsluitend verstrekt voor zover de betreffende functie beschikbaar is, de betrokkene rechtsgeldig toestemming heeft gegeven en het backendsysteem de identiteit en bijbehorende bevoegdheden heeft bevestigd. Het verschijnen van een AI-antwoord, kaart of knop betekent niet dat een handeling al is uitgevoerd; gevoelige handelingen vereisen formele verificatie en de noodzakelijke bevestiging, waarbij het systeemresultaat bepalend is. Het is verboden het machtigingensysteem te omzeilen om spelersgegevens te wijzigen of niet-openbare informatie van anderen te lezen.</w:t>
      </w:r>
    </w:p>
    <w:p>
      <w:pPr>
        <w:keepLines w:val="0"/>
      </w:pPr>
      <w:r>
        <w:rPr>
          <w:rFonts w:ascii="Noto Sans" w:hAnsi="Noto Sans" w:eastAsia="Arial Unicode MS" w:cs="Noto Sans"/>
          <w:b w:val="0"/>
        </w:rPr>
        <w:t>De Dawnbloom-gids zal geen game-inhoud of backendgegevens direct wijzigen uitsluitend op verzoek van een speler. Zaken die betrekking hebben op het herstellen van items, het herstellen van phantombeesten, abnormaal goud of magiemunten, verlies door diefstal, transactietwisten, uitbetaling van beloningen of accountstraffen moeten worden afgehandeld op basis van feitelijke gegevens, regelgebaseerde rechten en noodzakelijke beoordelingsprocedures. Om de accountbeveiliging te beschermen, zal de Dawnbloom-gids spelers nooit vragen om accountwachtwoorden of volledige eenmalige verificatiecodes te verstrekken. Voor accountbewerkingen met hoog risico zullen officiële identiteitsverificatiemechanismen nog steeds vereist zijn voor bevestiging.</w:t>
      </w:r>
    </w:p>
    <w:p>
      <w:pPr>
        <w:keepLines w:val="0"/>
      </w:pPr>
      <w:r>
        <w:rPr>
          <w:rFonts w:ascii="Noto Sans" w:hAnsi="Noto Sans" w:eastAsia="Arial Unicode MS" w:cs="Noto Sans"/>
          <w:b w:val="0"/>
        </w:rPr>
        <w:t>DAWNBLOOM zal geen backend-velden, interne berekeningsformules, niet-aangekondigde kansen, interne vermenigvuldigers, beveiligingsstrategieën, methoden voor het exploiteren van kwetsbaarheden, niet-publieke planningsdocumenten, beheerdersinformatie of andere niet-openbare gegevens aan spelers onthullen. Het AI-systeem kan begripsfouten, informatievertraging of onvolledige expressie vertonen; als een antwoord van de Dawnbloom-gids in strijd is met officiële aankondigingen, productpagina's, Privacybeleid, Spelersregels &amp; Handhavingsbeleid, Verkoop- en restitutievoorwaarden, officieel geverifieerde gegevens of handmatig beoordeelde resultaten, zijn deze laatste leidend.</w:t>
      </w:r>
    </w:p>
    <w:p>
      <w:pPr>
        <w:keepLines w:val="0"/>
      </w:pPr>
      <w:r>
        <w:rPr>
          <w:rFonts w:ascii="Noto Sans" w:hAnsi="Noto Sans" w:eastAsia="Arial Unicode MS" w:cs="Noto Sans"/>
          <w:b w:val="0"/>
        </w:rPr>
        <w:t>De technische aansluiting maakt gebruik van de mogelijkheden van Qwen via Alibaba Cloud Model Studio; voor de modelaansluiting wordt een regionaal eindpunt in Tokio, Japan, gebruikt. De regio waarin het eindpunt zich bevindt, betekent niet dat alle gebruikersgegevens uitsluitend in Japan worden verwerkt en vervangt evenmin de verificatie van de daadwerkelijke dienstverleningsovereenkomsten, logbestanden van dienstverleners, instellingen voor modeltraining en bewaring en grensoverschrijdende verplichtingen. OpenAI Codex is betrokken bij de opbouw van het kennissysteem, functieontwikkeling, interactieontwerp en voortdurende optimalisatie. Daardoor ontvangt het niet automatisch chatgegevens van gebruikers, en dit betekent evenmin dat het het Qwen-basismodel heeft getraind.</w:t>
      </w:r>
    </w:p>
    <w:p>
      <w:pPr>
        <w:pStyle w:val="Heading1"/>
        <w:keepLines w:val="0"/>
      </w:pPr>
      <w:r>
        <w:rPr>
          <w:rFonts w:ascii="Noto Sans" w:hAnsi="Noto Sans" w:eastAsia="Arial Unicode MS" w:cs="Noto Sans"/>
          <w:b w:val="0"/>
        </w:rPr>
        <w:t>11. Beveiligingskwetsbaarheden, juridische kennisgevingen en verzoeken van handhavingsinstanties</w:t>
      </w:r>
    </w:p>
    <w:p>
      <w:pPr>
        <w:keepLines w:val="0"/>
      </w:pPr>
      <w:r>
        <w:rPr>
          <w:rFonts w:ascii="Noto Sans" w:hAnsi="Noto Sans" w:eastAsia="Arial Unicode MS" w:cs="Noto Sans"/>
          <w:b w:val="0"/>
        </w:rPr>
        <w:t xml:space="preserve">Als u kwetsbaarheden ontdekt op de officiële website, accountsysteem, DAWNBLOOM Community, AI-klantenservice of gameservices die de veiligheid van spelersaccounts, gegevens of services kunnen bedreigen, raden we aan deze verantwoord te melden via </w:t>
      </w:r>
      <w:hyperlink r:id="rId19">
        <w:r>
          <w:rPr>
            <w:rFonts w:ascii="Noto Sans" w:hAnsi="Noto Sans" w:eastAsia="Arial Unicode MS"/>
            <w:b w:val="0"/>
          </w:rPr>
          <w:t xml:space="preserve">security@dawnbloom.net</w:t>
        </w:r>
      </w:hyperlink>
      <w:r>
        <w:rPr>
          <w:rFonts w:ascii="Noto Sans" w:hAnsi="Noto Sans" w:eastAsia="Arial Unicode MS" w:cs="Noto Sans"/>
          <w:b w:val="0"/>
        </w:rPr>
        <w:t xml:space="preserve"> of officiële klantenservice. Maak geen openbaarmaking van exploit-details, methoden voor het kopiëren van items, aanvals-scripts, inloggegevens, persoonlijke informatie van anderen of interne backend-gegevens die onmiddellijk misbruikt kunnen worden.</w:t>
      </w:r>
    </w:p>
    <w:p>
      <w:pPr>
        <w:keepLines w:val="0"/>
      </w:pPr>
      <w:r>
        <w:rPr>
          <w:rFonts w:ascii="Noto Sans" w:hAnsi="Noto Sans" w:eastAsia="Arial Unicode MS" w:cs="Noto Sans"/>
          <w:b w:val="0"/>
        </w:rPr>
        <w:t>Verzoeken om informatiebehoud, openbaarmaking, verwijdering, blokkering of hulp ingediend door rechtbanken, regelgevende instanties, rechtshandhavingsinstanties of andere wettelijk gemachtigde entiteiten zullen worden beoordeeld en verwerkt op basis van toepasselijke wetgeving, de autoriteit van het verzoek, authenticiteit en noodzaak. De grenzen voor het openbaarmaken en bewaren van persoonsgegevens zijn zoals gespecificeerd in het Privacybeleid.</w:t>
      </w:r>
    </w:p>
    <w:p>
      <w:pPr>
        <w:pStyle w:val="Heading1"/>
        <w:keepLines w:val="0"/>
      </w:pPr>
      <w:r>
        <w:rPr>
          <w:rFonts w:ascii="Noto Sans" w:hAnsi="Noto Sans" w:eastAsia="Arial Unicode MS" w:cs="Noto Sans"/>
          <w:b w:val="0"/>
        </w:rPr>
        <w:t>12. Index van regionale juridische informatie</w:t>
      </w:r>
    </w:p>
    <w:p>
      <w:pPr>
        <w:keepLines w:val="0"/>
      </w:pPr>
      <w:r>
        <w:rPr>
          <w:rFonts w:ascii="Noto Sans" w:hAnsi="Noto Sans" w:eastAsia="Arial Unicode MS" w:cs="Noto Sans"/>
          <w:b w:val="0"/>
        </w:rPr>
        <w:t>Deze pagina dient als algemene juridische informatie-ingangspunt en vervangt niet de verplichte wettelijke openbaarmakingen die vereist zijn door toepasselijke jurisdicties. Als er wijzigingen optreden met betrekking tot de operationele entiteit, serverlocatie, betalingsverwerkingsmethode, verkopersinformatie, forum-UGC-model of app store-beleidsregels, zullen de desbetreffende juridische pagina's dienovereenkomstig worden bijgewerkt.</w:t>
      </w:r>
    </w:p>
    <w:p>
      <w:pPr>
        <w:pStyle w:val="Heading1"/>
        <w:keepLines w:val="0"/>
      </w:pPr>
      <w:r>
        <w:rPr>
          <w:rFonts w:ascii="Noto Sans" w:hAnsi="Noto Sans" w:eastAsia="Arial Unicode MS" w:cs="Noto Sans"/>
          <w:b w:val="0"/>
        </w:rPr>
        <w:t>13. Contact opnemen</w:t>
      </w:r>
    </w:p>
    <w:p>
      <w:pPr>
        <w:keepLines w:val="0"/>
      </w:pPr>
      <w:r>
        <w:rPr>
          <w:rFonts w:ascii="Noto Sans" w:hAnsi="Noto Sans" w:eastAsia="Arial Unicode MS" w:cs="Noto Sans"/>
          <w:b w:val="0"/>
        </w:rPr>
        <w:t xml:space="preserve">Algemene spelersondersteuning: </w:t>
      </w:r>
      <w:hyperlink r:id="rId17">
        <w:r>
          <w:rPr>
            <w:rFonts w:ascii="Noto Sans" w:hAnsi="Noto Sans" w:eastAsia="Arial Unicode MS"/>
            <w:b w:val="0"/>
          </w:rPr>
          <w:t xml:space="preserve">support@dawnbloom.net</w:t>
        </w:r>
      </w:hyperlink>
      <w:r>
        <w:rPr>
          <w:rFonts w:ascii="Noto Sans" w:hAnsi="Noto Sans" w:eastAsia="Arial Unicode MS" w:cs="Noto Sans"/>
          <w:b w:val="0"/>
        </w:rPr>
        <w:t xml:space="preserve">; Juridische, auteursrechtelijke en privacyvragen: </w:t>
      </w:r>
      <w:hyperlink r:id="rId18">
        <w:r>
          <w:rPr>
            <w:rFonts w:ascii="Noto Sans" w:hAnsi="Noto Sans" w:eastAsia="Arial Unicode MS"/>
            <w:b w:val="0"/>
          </w:rPr>
          <w:t xml:space="preserve">legal@dawnbloom.net</w:t>
        </w:r>
      </w:hyperlink>
      <w:r>
        <w:rPr>
          <w:rFonts w:ascii="Noto Sans" w:hAnsi="Noto Sans" w:eastAsia="Arial Unicode MS" w:cs="Noto Sans"/>
          <w:b w:val="0"/>
        </w:rPr>
        <w:t xml:space="preserve">; Beveiligingskwetsbaarheden en beveiligingsincidenten: </w:t>
      </w:r>
      <w:hyperlink r:id="rId19">
        <w:r>
          <w:rPr>
            <w:rFonts w:ascii="Noto Sans" w:hAnsi="Noto Sans" w:eastAsia="Arial Unicode MS"/>
            <w:b w:val="0"/>
          </w:rPr>
          <w:t xml:space="preserve">security@dawnbloom.net</w:t>
        </w:r>
      </w:hyperlink>
      <w:r>
        <w:rPr>
          <w:rFonts w:ascii="Noto Sans" w:hAnsi="Noto Sans" w:eastAsia="Arial Unicode MS" w:cs="Noto Sans"/>
          <w:b w:val="0"/>
        </w:rPr>
        <w:t xml:space="preserve">; Media- en zakelijke samenwerking: </w:t>
      </w:r>
      <w:hyperlink r:id="rId20">
        <w:r>
          <w:rPr>
            <w:rFonts w:ascii="Noto Sans" w:hAnsi="Noto Sans" w:eastAsia="Arial Unicode MS"/>
            <w:b w:val="0"/>
          </w:rPr>
          <w:t xml:space="preserve">contact@dawnbloom.net</w:t>
        </w:r>
      </w:hyperlink>
    </w:p>
    <w:p>
      <w:pPr>
        <w:keepLines w:val="0"/>
      </w:pPr>
      <w:r>
        <w:rPr>
          <w:rFonts w:ascii="Noto Sans" w:hAnsi="Noto Sans" w:eastAsia="Arial Unicode MS" w:cs="Noto Sans"/>
          <w:b w:val="0"/>
        </w:rPr>
        <w:t>Officiële domeinen en regionale toegangspunten zijn geïdentificeerd in sectie 1; bestaande merkbeschermingsdomeinen zijn opgenomen in de huidige Officiële Kanalen &amp; Anti-fraudebericht. DAWNBLOOM Account en DAWNBLOOM Community blijven onderdeel van dezelfde service, en officiële e-mailadressen gebruiken @dawnbloom.net.</w:t>
      </w:r>
    </w:p>
    <w:p>
      <w:pPr>
        <w:keepLines w:val="0"/>
      </w:pPr>
      <w:r>
        <w:rPr>
          <w:rFonts w:ascii="Noto Sans" w:hAnsi="Noto Sans" w:eastAsia="Arial Unicode MS" w:cs="Noto Sans"/>
          <w:b w:val="0"/>
        </w:rPr>
        <w:t>Operator / website service provider: Shanghai Zhuiguang Zhichuang Culture Media Co., Ltd. (Engelse publieksnaam: SHANGHAI LUMIREALM CREATIVE MEDIA CO., LTD.)</w:t>
      </w:r>
    </w:p>
    <w:p>
      <w:pPr>
        <w:keepLines w:val="0"/>
      </w:pPr>
      <w:r>
        <w:rPr>
          <w:rFonts w:ascii="Noto Sans" w:hAnsi="Noto Sans" w:eastAsia="Arial Unicode MS" w:cs="Noto Sans"/>
          <w:b w:val="0"/>
        </w:rPr>
        <w:t>Operatieadres / officieel contactadres: Kamer 218, Gebouw 3, Nr 336 Tianjiao Road, Lin-gang Speciale Gebied van de China (Shanghai) Pilot Vrijhandelszone, China</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https://dawnbloom.com.cn" TargetMode="External"/><Relationship Id="rId13" Type="http://schemas.openxmlformats.org/officeDocument/2006/relationships/hyperlink" Target="https://dawnbloom.net/zh/" TargetMode="External"/><Relationship Id="rId14" Type="http://schemas.openxmlformats.org/officeDocument/2006/relationships/hyperlink" Target="https://dawnbloom.jp" TargetMode="External"/><Relationship Id="rId15" Type="http://schemas.openxmlformats.org/officeDocument/2006/relationships/hyperlink" Target="https://dawnbloom.net/ja/" TargetMode="External"/><Relationship Id="rId16" Type="http://schemas.openxmlformats.org/officeDocument/2006/relationships/hyperlink" Target="https://dawnbloom.net/kr/." TargetMode="External"/><Relationship Id="rId17" Type="http://schemas.openxmlformats.org/officeDocument/2006/relationships/hyperlink" Target="mailto:support@dawnbloom.net" TargetMode="External"/><Relationship Id="rId18" Type="http://schemas.openxmlformats.org/officeDocument/2006/relationships/hyperlink" Target="mailto:legal@dawnbloom.net" TargetMode="External"/><Relationship Id="rId19" Type="http://schemas.openxmlformats.org/officeDocument/2006/relationships/hyperlink" Target="mailto:security@dawnbloom.net" TargetMode="External"/><Relationship Id="rId20" Type="http://schemas.openxmlformats.org/officeDocument/2006/relationships/hyperlink" Target="mailto:contact@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Juridische informatie en mededelingen van DAWNBLOOM</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