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Gebruiksvoorwaarden voor DAWNBLOOM AI</w:t>
      </w:r>
    </w:p>
    <w:p>
      <w:pPr>
        <w:keepLines w:val="0"/>
      </w:pPr>
      <w:r>
        <w:rPr>
          <w:rFonts w:ascii="Noto Sans" w:hAnsi="Noto Sans" w:eastAsia="Noto Sans TC" w:cs="Noto Sans"/>
          <w:b w:val="0"/>
        </w:rPr>
        <w:t>Versie: V8</w:t>
      </w:r>
    </w:p>
    <w:p>
      <w:pPr>
        <w:keepLines w:val="0"/>
      </w:pPr>
      <w:r>
        <w:rPr>
          <w:rFonts w:ascii="Noto Sans" w:hAnsi="Noto Sans" w:eastAsia="Noto Sans TC" w:cs="Noto Sans"/>
          <w:b w:val="0"/>
        </w:rPr>
        <w:t>Herzieningsdatum: 10 oktober 2026</w:t>
      </w:r>
    </w:p>
    <w:p>
      <w:pPr>
        <w:keepLines w:val="0"/>
      </w:pPr>
      <w:r>
        <w:rPr>
          <w:rFonts w:ascii="Noto Sans" w:hAnsi="Noto Sans" w:eastAsia="Noto Sans TC" w:cs="Noto Sans"/>
          <w:b w:val="0"/>
        </w:rPr>
        <w:t>Ingangsdatum: 10 oktober 2026</w:t>
      </w:r>
    </w:p>
    <w:p>
      <w:pPr>
        <w:keepLines w:val="0"/>
      </w:pPr>
      <w:r>
        <w:rPr>
          <w:rFonts w:ascii="Noto Sans" w:hAnsi="Noto Sans" w:eastAsia="Noto Sans TC" w:cs="Noto Sans"/>
          <w:b w:val="0"/>
        </w:rPr>
        <w:t>Aanbieder: 上海追光智创文化传媒有限公司</w:t>
      </w:r>
    </w:p>
    <w:p>
      <w:pPr>
        <w:pStyle w:val="Heading1"/>
        <w:keepLines w:val="0"/>
      </w:pPr>
      <w:r>
        <w:rPr>
          <w:rFonts w:ascii="Noto Sans" w:hAnsi="Noto Sans" w:eastAsia="Noto Sans TC" w:cs="Noto Sans"/>
          <w:b w:val="0"/>
        </w:rPr>
        <w:t>1. Aanbieder, benaming en toepassingsgebied</w:t>
      </w:r>
    </w:p>
    <w:p>
      <w:pPr>
        <w:keepLines w:val="0"/>
      </w:pPr>
      <w:r>
        <w:rPr>
          <w:rFonts w:ascii="Noto Sans" w:hAnsi="Noto Sans" w:eastAsia="Noto Sans TC" w:cs="Noto Sans"/>
          <w:b w:val="0"/>
        </w:rPr>
        <w:t>上海追光智创文化传媒有限公司 biedt deze dienst aan. DAWNBLOOM AI is het merk voor het intelligente interactiesysteem en de technische diensten van ons bedrijf; DAWNBLOOM Fairy is de intelligente metgezel en interactiefiguur voor gebruikers binnen hetzelfde dienstenstelsel. DAWNBLOOM AI 2.0 duidt de openbare versie van dit intelligente dienstenstelsel aan en betekent niet dat ons bedrijf zelfstandig een groot basistaalmodel heeft getraind. Deze voorwaarden zijn van toepassing samen met de DAWNBLOOM-servicevoorwaarden, het privacybeleid, de spelersgedragscode en andere toepasselijke beleidsregels; deze voorwaarden regelen uitsluitend specifieke aangelegenheden van de intelligente diensten en beperken geen wettelijke rechten.</w:t>
      </w:r>
    </w:p>
    <w:p>
      <w:pPr>
        <w:pStyle w:val="Heading1"/>
        <w:keepLines w:val="0"/>
      </w:pPr>
      <w:r>
        <w:rPr>
          <w:rFonts w:ascii="Noto Sans" w:hAnsi="Noto Sans" w:eastAsia="Noto Sans TC" w:cs="Noto Sans"/>
          <w:b w:val="0"/>
        </w:rPr>
        <w:t>2. Dienstinhoud en grenzen van taalondersteuning</w:t>
      </w:r>
    </w:p>
    <w:p>
      <w:pPr>
        <w:keepLines w:val="0"/>
      </w:pPr>
      <w:r>
        <w:rPr>
          <w:rFonts w:ascii="Noto Sans" w:hAnsi="Noto Sans" w:eastAsia="Noto Sans TC" w:cs="Noto Sans"/>
          <w:b w:val="0"/>
        </w:rPr>
        <w:t>De dienst is beperkt tot vragen en antwoorden over openbare spel- en productkennis, tekstcommunicatie in natuurlijke taal, begeleiding bij spelersdiensten en de daadwerkelijk beschikbare interfacefuncties van Intelligent UI; de taalondersteuning van de officiële website breidt het taalaanbod van de spelclient of van elk van de zes softwareproducten niet uit. Momenteel worden geen functies aangeboden voor het genereren of bewerken van afbeeldingen, het maken van PDF-, Word-, presentatie- of spreadsheetdocumenten of algemene kantoorautomatisering. De websiteversie maakt deel uit van het stelsel van 20 websitetalen; binnen het spel blijft de ondersteuning beperkt tot vier talen: Chinees, Engels, Japans en Koreaans. Ondersteuning van een taal betekent niet dat menselijke klantenservice of professioneel juridisch advies in die taal wordt aangeboden.</w:t>
      </w:r>
    </w:p>
    <w:p>
      <w:pPr>
        <w:pStyle w:val="Heading1"/>
        <w:keepLines w:val="0"/>
      </w:pPr>
      <w:r>
        <w:rPr>
          <w:rFonts w:ascii="Noto Sans" w:hAnsi="Noto Sans" w:eastAsia="Noto Sans TC" w:cs="Noto Sans"/>
          <w:b w:val="0"/>
        </w:rPr>
        <w:t>3. Openbare kennis en beschermde informatie</w:t>
      </w:r>
    </w:p>
    <w:p>
      <w:pPr>
        <w:keepLines w:val="0"/>
      </w:pPr>
      <w:r>
        <w:rPr>
          <w:rFonts w:ascii="Noto Sans" w:hAnsi="Noto Sans" w:eastAsia="Noto Sans TC" w:cs="Noto Sans"/>
          <w:b w:val="0"/>
        </w:rPr>
        <w:t>Vragen en antwoorden zijn beperkt tot spel-, product- en klantenservicemateriaal dat met toestemming openbaar is gemaakt. Niet-openbare verhaallijnen, opdrachten, kaarten, kansen, formules, interne ontwerpen, GM-informatie, veiligheidsmaatregelen en informatie over het misbruiken van kwetsbaarheden worden niet aan gebruikers beschikbaar gesteld. Het is verboden de vraag-en-antwoordfunctie te gebruiken om beschermd materiaal te verkrijgen.</w:t>
      </w:r>
    </w:p>
    <w:p>
      <w:pPr>
        <w:pStyle w:val="Heading1"/>
        <w:keepLines w:val="0"/>
      </w:pPr>
      <w:r>
        <w:rPr>
          <w:rFonts w:ascii="Noto Sans" w:hAnsi="Noto Sans" w:eastAsia="Noto Sans TC" w:cs="Noto Sans"/>
          <w:b w:val="0"/>
        </w:rPr>
        <w:t>4. Intelligent UI en bevestiging door de gebruiker</w:t>
      </w:r>
    </w:p>
    <w:p>
      <w:pPr>
        <w:keepLines w:val="0"/>
      </w:pPr>
      <w:r>
        <w:rPr>
          <w:rFonts w:ascii="Noto Sans" w:hAnsi="Noto Sans" w:eastAsia="Noto Sans TC" w:cs="Noto Sans"/>
          <w:b w:val="0"/>
        </w:rPr>
        <w:t>Intelligent UI combineert antwoorden met interactieve informatiekaarten, toegangspunten tot functies en bevestigingsschermen. Informatie over fantasiewezens, uitrusting, voorwerpen, persoonlijke spelgegevens en accountbeveiliging wordt uitsluitend verstrekt voor zover de betreffende functie beschikbaar is, de betrokkene rechtsgeldig toestemming heeft gegeven en het backendsysteem de identiteit en bijbehorende bevoegdheden heeft bevestigd. Het verschijnen van een AI-antwoord, kaart of knop betekent niet dat een handeling al is uitgevoerd; gevoelige handelingen vereisen formele verificatie en de noodzakelijke bevestiging, waarbij het systeemresultaat bepalend is. Het is verboden het machtigingensysteem te omzeilen om spelersgegevens te wijzigen of niet-openbare informatie van anderen te lezen. Uitdrukkelijk als zodanig aangeduide demonstratiegegevens zijn geen gegevens van de gebruiker zelf en bewijzen evenmin dat een daadwerkelijke raadpleging of handeling is geslaagd.</w:t>
      </w:r>
    </w:p>
    <w:p>
      <w:pPr>
        <w:pStyle w:val="Heading1"/>
        <w:keepLines w:val="0"/>
      </w:pPr>
      <w:r>
        <w:rPr>
          <w:rFonts w:ascii="Noto Sans" w:hAnsi="Noto Sans" w:eastAsia="Noto Sans TC" w:cs="Noto Sans"/>
          <w:b w:val="0"/>
        </w:rPr>
        <w:t>5. Juistheid van de uitvoer en verificatie van belangrijke informatie</w:t>
      </w:r>
    </w:p>
    <w:p>
      <w:pPr>
        <w:keepLines w:val="0"/>
      </w:pPr>
      <w:r>
        <w:rPr>
          <w:rFonts w:ascii="Noto Sans" w:hAnsi="Noto Sans" w:eastAsia="Noto Sans TC" w:cs="Noto Sans"/>
          <w:b w:val="0"/>
        </w:rPr>
        <w:t xml:space="preserve">AI-antwoorden kunnen berusten op misverstanden, onvolledig zijn of verouderde informatie bevatten. Zij vervangen geen officiële mededelingen, spelregels, product- en terugbetalingsvoorwaarden, met toestemming geverifieerde gegevens of resultaten van menselijke herbeoordeling. Gebruikers moeten belangrijke informatie zelfstandig verifiëren en kunnen fouten melden of bezwaar indienen via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AI-adviezen wijzigen op zichzelf geen bestaande gebruikersrechten of wettelijke rechtsmiddelen. AI neemt geen definitieve beslissingen over juridische, medische, financiële of andere professionele aangelegenheden.</w:t>
      </w:r>
    </w:p>
    <w:p>
      <w:pPr>
        <w:pStyle w:val="Heading1"/>
        <w:keepLines w:val="0"/>
      </w:pPr>
      <w:r>
        <w:rPr>
          <w:rFonts w:ascii="Noto Sans" w:hAnsi="Noto Sans" w:eastAsia="Noto Sans TC" w:cs="Noto Sans"/>
          <w:b w:val="0"/>
        </w:rPr>
        <w:t>6. Rechten en verantwoordelijkheden met betrekking tot invoer en uitvoer</w:t>
      </w:r>
    </w:p>
    <w:p>
      <w:pPr>
        <w:keepLines w:val="0"/>
      </w:pPr>
      <w:r>
        <w:rPr>
          <w:rFonts w:ascii="Noto Sans" w:hAnsi="Noto Sans" w:eastAsia="Noto Sans TC" w:cs="Noto Sans"/>
          <w:b w:val="0"/>
        </w:rPr>
        <w:t>Gebruikers moeten gerechtigd zijn de ingevoerde inhoud te verstrekken en mogen geen informatie indienen die inbreuk maakt op rechten van anderen of onrechtmatig is. Gebruikers zijn verantwoordelijk voor de rechtmatigheid van het gebruik en de verspreiding van de uitvoer en voor de noodzakelijke verificatie. Het genereren van een antwoord door ons bedrijf verleent geen rechten op werken, merken of persoonsgegevens van derden; gebruikersrechten die krachtens de wet op de uitvoer bestaan en andere wettelijke rechten worden door deze voorwaarden niet uitgesloten.</w:t>
      </w:r>
    </w:p>
    <w:p>
      <w:pPr>
        <w:pStyle w:val="Heading1"/>
        <w:keepLines w:val="0"/>
      </w:pPr>
      <w:r>
        <w:rPr>
          <w:rFonts w:ascii="Noto Sans" w:hAnsi="Noto Sans" w:eastAsia="Noto Sans TC" w:cs="Noto Sans"/>
          <w:b w:val="0"/>
        </w:rPr>
        <w:t>7. Veilig gebruik en verbod op misbruik</w:t>
      </w:r>
    </w:p>
    <w:p>
      <w:pPr>
        <w:keepLines w:val="0"/>
      </w:pPr>
      <w:r>
        <w:rPr>
          <w:rFonts w:ascii="Noto Sans" w:hAnsi="Noto Sans" w:eastAsia="Noto Sans TC" w:cs="Noto Sans"/>
          <w:b w:val="0"/>
        </w:rPr>
        <w:t>Het is verboden aanvallen uit te voeren, opzettelijk buitensporige geautomatiseerde verzoeken te doen, zich als iemand anders voor te doen, verificatiecodes of machtigingen te omzeilen, kwaadaardige instructies in te dienen, niet-openbare inhoud te stelen of valse officiële toezeggingen te creëren. Verstrek geen wachtwoorden, volledige eenmalige verificatiecodes, betaalwachtwoorden, tokens of andere onnodige gevoelige informatie.</w:t>
      </w:r>
    </w:p>
    <w:p>
      <w:pPr>
        <w:pStyle w:val="Heading1"/>
        <w:keepLines w:val="0"/>
      </w:pPr>
      <w:r>
        <w:rPr>
          <w:rFonts w:ascii="Noto Sans" w:hAnsi="Noto Sans" w:eastAsia="Noto Sans TC" w:cs="Noto Sans"/>
          <w:b w:val="0"/>
        </w:rPr>
        <w:t>8. Accountgegevens en spelhandelingen</w:t>
      </w:r>
    </w:p>
    <w:p>
      <w:pPr>
        <w:keepLines w:val="0"/>
      </w:pPr>
      <w:r>
        <w:rPr>
          <w:rFonts w:ascii="Noto Sans" w:hAnsi="Noto Sans" w:eastAsia="Noto Sans TC" w:cs="Noto Sans"/>
          <w:b w:val="0"/>
        </w:rPr>
        <w:t>Persoonlijke fantasiewezens, uitrusting, voorwerpen, bezittingen en gegevens kunnen uitsluitend worden bekeken binnen de grenzen van de rechtsgeldige toestemming van de betrokkene en verificatie door het backendsysteem. AI krijgt geen GM-bevoegdheden en wijzigt niet rechtstreeks bezittingen, sancties of officiële spelmechanismen; herstel, geschillen en bezwaren worden via de formele procedures geverifieerd.</w:t>
      </w:r>
    </w:p>
    <w:p>
      <w:pPr>
        <w:pStyle w:val="Heading1"/>
        <w:keepLines w:val="0"/>
      </w:pPr>
      <w:r>
        <w:rPr>
          <w:rFonts w:ascii="Noto Sans" w:hAnsi="Noto Sans" w:eastAsia="Noto Sans TC" w:cs="Noto Sans"/>
          <w:b w:val="0"/>
        </w:rPr>
        <w:t>9. Minderjarigen</w:t>
      </w:r>
    </w:p>
    <w:p>
      <w:pPr>
        <w:keepLines w:val="0"/>
      </w:pPr>
      <w:r>
        <w:rPr>
          <w:rFonts w:ascii="Noto Sans" w:hAnsi="Noto Sans" w:eastAsia="Noto Sans TC" w:cs="Noto Sans"/>
          <w:b w:val="0"/>
        </w:rPr>
        <w:t>Voor accounts en speldiensten blijft de bestaande toelatingseis van minimaal 18 jaar gelden; deze wordt door de AI-dienst niet versoepeld. Toegang tot openbare informatie betekent niet dat registratie of gebruik van een spelaccount is toegestaan. Bij informatie over minderjarigen worden de toepasselijke beschermingsvereisten gevolgd; AI-gesprekken vervangen geen wettelijk vereiste toestemming van een ouder of voogd of verificatie.</w:t>
      </w:r>
    </w:p>
    <w:p>
      <w:pPr>
        <w:pStyle w:val="Heading1"/>
        <w:keepLines w:val="0"/>
      </w:pPr>
      <w:r>
        <w:rPr>
          <w:rFonts w:ascii="Noto Sans" w:hAnsi="Noto Sans" w:eastAsia="Noto Sans TC" w:cs="Noto Sans"/>
          <w:b w:val="0"/>
        </w:rPr>
        <w:t>10. Modellen van derden en gegevensverwerking</w:t>
      </w:r>
    </w:p>
    <w:p>
      <w:pPr>
        <w:keepLines w:val="0"/>
      </w:pPr>
      <w:r>
        <w:rPr>
          <w:rFonts w:ascii="Noto Sans" w:hAnsi="Noto Sans" w:eastAsia="Noto Sans TC" w:cs="Noto Sans"/>
          <w:b w:val="0"/>
        </w:rPr>
        <w:t>De technische aansluiting maakt gebruik van de mogelijkheden van Qwen via Alibaba Cloud Model Studio; voor de modelaansluiting wordt een regionaal eindpunt in Tokio, Japan, gebruikt. De regio waarin het eindpunt zich bevindt, betekent niet dat alle gebruikersgegevens uitsluitend in Japan worden verwerkt en vervangt evenmin de verificatie van de daadwerkelijke dienstverleningsovereenkomsten, logbestanden van dienstverleners, instellingen voor modeltraining en bewaring en grensoverschrijdende verplichtingen. OpenAI Codex is betrokken bij de opbouw van het kennissysteem, functieontwikkeling, interactieontwerp en voortdurende optimalisatie. Daardoor ontvangt het niet automatisch chatgegevens van gebruikers, en dit betekent evenmin dat het het Qwen-basismodel heeft getraind. De specifieke invoer, context, servicelogbestanden, bewaring en instellingen voor modeltraining worden bepaald door het geldende DAWNBLOOM-privacybeleid, de toepasselijke specifieke informatieverstrekking en de daadwerkelijke dienstverleningsovereenkomsten. De specifieke privacyverklaring voor AI wordt nog geverifieerd; deze voorwaarden vervangen geen bevestiging van de feitelijke gegevensverwerking. De betreffende model- of persoonsgegevensverwerking wordt niet beschikbaar gesteld voordat de noodzakelijke informatieverstrekking, autorisatie en veiligheidsverificatie zijn afgerond.</w:t>
      </w:r>
    </w:p>
    <w:p>
      <w:pPr>
        <w:pStyle w:val="Heading1"/>
        <w:keepLines w:val="0"/>
      </w:pPr>
      <w:r>
        <w:rPr>
          <w:rFonts w:ascii="Noto Sans" w:hAnsi="Noto Sans" w:eastAsia="Noto Sans TC" w:cs="Noto Sans"/>
          <w:b w:val="0"/>
        </w:rPr>
        <w:t>11. Beschikbaarheid, storingen en dienstaanpassingen</w:t>
      </w:r>
    </w:p>
    <w:p>
      <w:pPr>
        <w:keepLines w:val="0"/>
      </w:pPr>
      <w:r>
        <w:rPr>
          <w:rFonts w:ascii="Noto Sans" w:hAnsi="Noto Sans" w:eastAsia="Noto Sans TC" w:cs="Noto Sans"/>
          <w:b w:val="0"/>
        </w:rPr>
        <w:t>De daadwerkelijke functies worden bepaald door de beschikbare toegangspunten en de officiële dienststatus. Onderhoud, storingen, veiligheidsincidenten, capaciteitsproblemen of problemen bij leveranciers kunnen delen van de dienst beperken; wij nemen maatregelen voor zover noodzakelijk en informeren via passende kanalen over wezenlijke wijzigingen. Het stopzetten van modelverzoeken betekent niet dat een account wordt opgeheven; bestaande rechten uit aankopen en wettelijke rechtsmiddelen vervallen niet automatisch door beperkingen van AI-functies.</w:t>
      </w:r>
    </w:p>
    <w:p>
      <w:pPr>
        <w:pStyle w:val="Heading1"/>
        <w:keepLines w:val="0"/>
      </w:pPr>
      <w:r>
        <w:rPr>
          <w:rFonts w:ascii="Noto Sans" w:hAnsi="Noto Sans" w:eastAsia="Noto Sans TC" w:cs="Noto Sans"/>
          <w:b w:val="0"/>
        </w:rPr>
        <w:t>12. Maatregelen bij overtredingen, bezwaar en correctie</w:t>
      </w:r>
    </w:p>
    <w:p>
      <w:pPr>
        <w:keepLines w:val="0"/>
      </w:pPr>
      <w:r>
        <w:rPr>
          <w:rFonts w:ascii="Noto Sans" w:hAnsi="Noto Sans" w:eastAsia="Noto Sans TC" w:cs="Noto Sans"/>
          <w:b w:val="0"/>
        </w:rPr>
        <w:t>Afhankelijk van het daadwerkelijke risico kunnen verzoeken worden begrensd, de betreffende intelligente functies worden opgeschort of maatregelen uit de spelersgedragscode worden toegepast, met beschikbaarstelling van een formeel bezwaarkanaal. Gebruikers kunnen om correctie verzoeken door het specifieke antwoord, het tijdstip van de vraag en de noodzakelijke verificatiegegevens in te dienen; scherm niet-relevante persoonsgegevens af. Een AI-antwoord vormt op zichzelf geen sanctiebesluit.</w:t>
      </w:r>
    </w:p>
    <w:p>
      <w:pPr>
        <w:pStyle w:val="Heading1"/>
        <w:keepLines w:val="0"/>
      </w:pPr>
      <w:r>
        <w:rPr>
          <w:rFonts w:ascii="Noto Sans" w:hAnsi="Noto Sans" w:eastAsia="Noto Sans TC" w:cs="Noto Sans"/>
          <w:b w:val="0"/>
        </w:rPr>
        <w:t>13. Stoppen met gebruik en gegevensrechten</w:t>
      </w:r>
    </w:p>
    <w:p>
      <w:pPr>
        <w:keepLines w:val="0"/>
      </w:pPr>
      <w:r>
        <w:rPr>
          <w:rFonts w:ascii="Noto Sans" w:hAnsi="Noto Sans" w:eastAsia="Noto Sans TC" w:cs="Noto Sans"/>
          <w:b w:val="0"/>
        </w:rPr>
        <w:t xml:space="preserve">Gebruikers kunnen stoppen met chatten, toestemming intrekken voor zover deze wettelijk kan worden ingetrokken, lokale chatgeschiedenis wissen en via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of de officiële klantenservice verzoeken indienen tot inzage, rectificatie, verwijdering, beperking van de verwerking en klachten indienen. Het wissen van lokale gegevens verwijdert niet automatisch servicelogbestanden, supporttickets of gegevens van derden die overeenkomstig de wet worden bewaard; verdere verwerking vindt plaats op basis van de daadwerkelijke gegevenscategorieën, wettelijke verplichtingen, veiligheid en de behoeften van onopgeloste geschillen, zonder bestaande rechten aan te tasten. Stoppen met gebruik maakt bestaande klachten, terugbetalingsverzoeken, privacyverzoeken of wettelijke rechtsmiddelen niet ongeldig.</w:t>
      </w:r>
    </w:p>
    <w:p>
      <w:pPr>
        <w:pStyle w:val="Heading1"/>
        <w:keepLines w:val="0"/>
      </w:pPr>
      <w:r>
        <w:rPr>
          <w:rFonts w:ascii="Noto Sans" w:hAnsi="Noto Sans" w:eastAsia="Noto Sans TC" w:cs="Noto Sans"/>
          <w:b w:val="0"/>
        </w:rPr>
        <w:t>14. Wijzigingen, klachten en contact</w:t>
      </w:r>
    </w:p>
    <w:p>
      <w:pPr>
        <w:keepLines w:val="0"/>
      </w:pPr>
      <w:r>
        <w:rPr>
          <w:rFonts w:ascii="Noto Sans" w:hAnsi="Noto Sans" w:eastAsia="Noto Sans TC" w:cs="Noto Sans"/>
          <w:b w:val="0"/>
        </w:rPr>
        <w:t xml:space="preserve">Wezenlijke wijzigingen van voorwaarden of verwerking worden overeenkomstig de toepasselijke wetgeving meegedeeld en aan de noodzakelijke procedures onderworpen; reeds ontstane wettelijke rechten worden niet met terugwerkende kracht beperkt. Juridische aangelegenheden en gegevensrechten: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klantenservice en correcties: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veiligheidsincidenten: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Voor het wettelijke contactadres geldt het adres in de officiële juridische informatie.</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Gebruiksvoorwaarden voor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