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Condizioni d’uso di DAWNBLOOM Token</w:t>
      </w:r>
    </w:p>
    <w:p>
      <w:pPr>
        <w:keepLines w:val="0"/>
      </w:pPr>
      <w:r>
        <w:rPr>
          <w:rFonts w:ascii="Noto Sans" w:hAnsi="Noto Sans" w:eastAsia="Noto Sans TC" w:cs="Noto Sans"/>
          <w:b w:val="0"/>
        </w:rPr>
        <w:t>Versione: V8</w:t>
      </w:r>
    </w:p>
    <w:p>
      <w:pPr>
        <w:keepLines w:val="0"/>
      </w:pPr>
      <w:r>
        <w:rPr>
          <w:rFonts w:ascii="Noto Sans" w:hAnsi="Noto Sans" w:eastAsia="Noto Sans TC" w:cs="Noto Sans"/>
          <w:b w:val="0"/>
        </w:rPr>
        <w:t>Data di revisione: 10 ottobre 2026</w:t>
      </w:r>
    </w:p>
    <w:p>
      <w:pPr>
        <w:keepLines w:val="0"/>
      </w:pPr>
      <w:r>
        <w:rPr>
          <w:rFonts w:ascii="Noto Sans" w:hAnsi="Noto Sans" w:eastAsia="Noto Sans TC" w:cs="Noto Sans"/>
          <w:b w:val="0"/>
        </w:rPr>
        <w:t>Data di entrata in vigore: 10 ottobre 2026</w:t>
      </w:r>
    </w:p>
    <w:p>
      <w:pPr>
        <w:keepLines w:val="0"/>
      </w:pPr>
      <w:r>
        <w:rPr>
          <w:rFonts w:ascii="Noto Sans" w:hAnsi="Noto Sans" w:eastAsia="Noto Sans TC" w:cs="Noto Sans"/>
          <w:b w:val="0"/>
        </w:rPr>
        <w:t>Soggetto fornitore: 上海追光智创文化传媒有限公司</w:t>
      </w:r>
    </w:p>
    <w:p>
      <w:pPr>
        <w:keepLines w:val="0"/>
      </w:pPr>
      <w:r>
        <w:rPr>
          <w:rFonts w:ascii="Noto Sans" w:hAnsi="Noto Sans" w:eastAsia="Noto Sans TC" w:cs="Noto Sans"/>
          <w:b w:val="0"/>
        </w:rPr>
        <w:t>Benvenuto in DAWNBLOOM Token. Le presenti condizioni si applicano al download da canali ufficiali, all’installazione o all’utilizzo del prodotto e dei relativi servizi ufficiali. Leggile prima di procedere; se non le accetti, non scaricare né utilizzare il prodotto.</w:t>
      </w:r>
    </w:p>
    <w:p>
      <w:pPr>
        <w:pStyle w:val="Heading1"/>
        <w:keepLines w:val="0"/>
      </w:pPr>
      <w:r>
        <w:rPr>
          <w:rFonts w:ascii="Noto Sans" w:hAnsi="Noto Sans" w:eastAsia="Noto Sans TC" w:cs="Noto Sans"/>
          <w:b w:val="0"/>
        </w:rPr>
        <w:t>Fornitore del servizio</w:t>
      </w:r>
    </w:p>
    <w:p>
      <w:pPr>
        <w:keepLines w:val="0"/>
      </w:pPr>
      <w:r>
        <w:rPr>
          <w:rFonts w:ascii="Noto Sans" w:hAnsi="Noto Sans" w:eastAsia="Noto Sans TC" w:cs="Noto Sans"/>
          <w:b w:val="0"/>
        </w:rPr>
        <w:t>上海追光智创文化传媒有限公司 · stanza 218, edificio 3, n. 336 Tianjiao Road, nuova area di Lingang, Zona pilota di libero scambio della Cina (Shanghai), Cina</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Ambito del prodotto e account</w:t>
      </w:r>
    </w:p>
    <w:p>
      <w:pPr>
        <w:keepLines w:val="0"/>
      </w:pPr>
      <w:r>
        <w:rPr>
          <w:rFonts w:ascii="Noto Sans" w:hAnsi="Noto Sans" w:eastAsia="Noto Sans TC" w:cs="Noto Sans"/>
          <w:b w:val="0"/>
        </w:rPr>
        <w:t>DAWNBLOOM Token offre accessi agli account DAWNBLOOM, alla verifica di sicurezza, alla comunità ufficiale e alle informazioni. Registrazione, accesso, associazione, recupero e cancellazione degli account restano soggetti alle rispettive regole dell’account; le regole del gioco e della comunità si applicano autonomamente e le presenti condizioni non ne modificano i requisiti di partecipazione. I codici dinamici sono utilizzati esclusivamente per la verifica sicura dell’identità e non costituiscono valuta, beni o attestazioni di rendimento.</w:t>
      </w:r>
    </w:p>
    <w:p>
      <w:pPr>
        <w:pStyle w:val="Heading1"/>
        <w:keepLines w:val="0"/>
      </w:pPr>
      <w:r>
        <w:rPr>
          <w:rFonts w:ascii="Noto Sans" w:hAnsi="Noto Sans" w:eastAsia="Noto Sans TC" w:cs="Noto Sans"/>
          <w:b w:val="0"/>
        </w:rPr>
        <w:t>Codici di verifica e sicurezza del dispositivo</w:t>
      </w:r>
    </w:p>
    <w:p>
      <w:pPr>
        <w:keepLines w:val="0"/>
      </w:pPr>
      <w:r>
        <w:rPr>
          <w:rFonts w:ascii="Noto Sans" w:hAnsi="Noto Sans" w:eastAsia="Noto Sans TC" w:cs="Noto Sans"/>
          <w:b w:val="0"/>
        </w:rPr>
        <w:t>Custodisci adeguatamente password, informazioni di associazione e codici dinamici e approva soltanto verifiche avviate da te. I canali ufficiali non richiedono tali informazioni tramite messaggi privati. In caso di smarrimento del dispositivo, associazioni anomale o sospetto furto dell’account, intervieni quanto prima attraverso i canali ufficiali di gestione dell’account o di assistenza. L’ora del dispositivo, la sicurezza del sistema e lo stato della rete possono incidere sulla verifica; il prodotto non garantisce di prevenire ogni furto di account, truffa o rischio relativo al dispositivo.</w:t>
      </w:r>
    </w:p>
    <w:p>
      <w:pPr>
        <w:pStyle w:val="Heading1"/>
        <w:keepLines w:val="0"/>
      </w:pPr>
      <w:r>
        <w:rPr>
          <w:rFonts w:ascii="Noto Sans" w:hAnsi="Noto Sans" w:eastAsia="Noto Sans TC" w:cs="Noto Sans"/>
          <w:b w:val="0"/>
        </w:rPr>
        <w:t>Licenza software</w:t>
      </w:r>
    </w:p>
    <w:p>
      <w:pPr>
        <w:keepLines w:val="0"/>
      </w:pPr>
      <w:r>
        <w:rPr>
          <w:rFonts w:ascii="Noto Sans" w:hAnsi="Noto Sans" w:eastAsia="Noto Sans TC" w:cs="Noto Sans"/>
          <w:b w:val="0"/>
        </w:rPr>
        <w:t>Nel rispetto delle presenti condizioni e della legge applicabile, puoi installare e utilizzare la versione ufficiale su dispositivi compatibili di cui sei legittimo proprietario o che controlli legittimamente. I diritti di proprietà intellettuale sul software, sul marchio e sui relativi contenuti restano dei rispettivi titolari. I componenti open source di terzi sono forniti secondo le rispettive licenze.</w:t>
      </w:r>
    </w:p>
    <w:p>
      <w:pPr>
        <w:pStyle w:val="Heading1"/>
        <w:keepLines w:val="0"/>
      </w:pPr>
      <w:r>
        <w:rPr>
          <w:rFonts w:ascii="Noto Sans" w:hAnsi="Noto Sans" w:eastAsia="Noto Sans TC" w:cs="Noto Sans"/>
          <w:b w:val="0"/>
        </w:rPr>
        <w:t>Utilizzo lecito e servizi di terzi</w:t>
      </w:r>
    </w:p>
    <w:p>
      <w:pPr>
        <w:keepLines w:val="0"/>
      </w:pPr>
      <w:r>
        <w:rPr>
          <w:rFonts w:ascii="Noto Sans" w:hAnsi="Noto Sans" w:eastAsia="Noto Sans TC" w:cs="Noto Sans"/>
          <w:b w:val="0"/>
        </w:rPr>
        <w:t>È vietato spacciarsi per il soggetto ufficiale, diffondere software malevolo, sottrarre account, violare diritti altrui o compromettere la sicurezza dei servizi. Le presenti condizioni non limitano gli atti consentiti dalla legge applicabile né i diritti concessi dalle licenze open source. I siti esterni, le fonti dei contenuti e gli store sono soggetti alle proprie regole; non ne controlliamo i contenuti, la disponibilità o i costi.</w:t>
      </w:r>
    </w:p>
    <w:p>
      <w:pPr>
        <w:pStyle w:val="Heading1"/>
        <w:keepLines w:val="0"/>
      </w:pPr>
      <w:r>
        <w:rPr>
          <w:rFonts w:ascii="Noto Sans" w:hAnsi="Noto Sans" w:eastAsia="Noto Sans TC" w:cs="Noto Sans"/>
          <w:b w:val="0"/>
        </w:rPr>
        <w:t>Privacy e conferme necessarie</w:t>
      </w:r>
    </w:p>
    <w:p>
      <w:pPr>
        <w:keepLines w:val="0"/>
      </w:pPr>
      <w:r>
        <w:rPr>
          <w:rFonts w:ascii="Noto Sans" w:hAnsi="Noto Sans" w:eastAsia="Noto Sans TC" w:cs="Noto Sans"/>
          <w:b w:val="0"/>
        </w:rPr>
        <w:t>Il trattamento dei dati personali è disciplinato dall’informativa sulla privacy del prodotto e dall’Informativa sulla privacy DAWNBLOOM. Le presenti condizioni non sostituiscono le conferme separate richieste per i permessi di sistema, le operazioni sull’account, la sincronizzazione facoltativa o altri casi previsti dalla legge; puoi rifiutare le funzionalità facoltative.</w:t>
      </w:r>
    </w:p>
    <w:p>
      <w:pPr>
        <w:pStyle w:val="Heading1"/>
        <w:keepLines w:val="0"/>
      </w:pPr>
      <w:r>
        <w:rPr>
          <w:rFonts w:ascii="Noto Sans" w:hAnsi="Noto Sans" w:eastAsia="Noto Sans TC" w:cs="Noto Sans"/>
          <w:b w:val="0"/>
        </w:rPr>
        <w:t>Disponibilità, aggiornamenti e costi</w:t>
      </w:r>
    </w:p>
    <w:p>
      <w:pPr>
        <w:keepLines w:val="0"/>
      </w:pPr>
      <w:r>
        <w:rPr>
          <w:rFonts w:ascii="Noto Sans" w:hAnsi="Noto Sans" w:eastAsia="Noto Sans TC" w:cs="Noto Sans"/>
          <w:b w:val="0"/>
        </w:rPr>
        <w:t>Funzionalità e canali dipendono dalle versioni effettivamente pubblicate e possono variare tra piattaforme, dispositivi o regioni. Il numero di versione unificato sul sito ufficiale non significa che tutti gli store offrano già la stessa versione. Possiamo fornire aggiornamenti di sicurezza e funzionalità; qualora vengano introdotti costi, comunicheremo chiaramente in anticipo prezzi, ambito e regole applicabili e non effettueremo addebiti sulla sola base delle presenti condizioni. Se ottieni il software tramite uno store, devi rispettare anche le relative regole applicabili di licenza e acquisto.</w:t>
      </w:r>
    </w:p>
    <w:p>
      <w:pPr>
        <w:pStyle w:val="Heading1"/>
        <w:keepLines w:val="0"/>
      </w:pPr>
      <w:r>
        <w:rPr>
          <w:rFonts w:ascii="Noto Sans" w:hAnsi="Noto Sans" w:eastAsia="Noto Sans TC" w:cs="Noto Sans"/>
          <w:b w:val="0"/>
        </w:rPr>
        <w:t>Limitazioni del servizio e diritti degli utenti</w:t>
      </w:r>
    </w:p>
    <w:p>
      <w:pPr>
        <w:keepLines w:val="0"/>
      </w:pPr>
      <w:r>
        <w:rPr>
          <w:rFonts w:ascii="Noto Sans" w:hAnsi="Noto Sans" w:eastAsia="Noto Sans TC" w:cs="Noto Sans"/>
          <w:b w:val="0"/>
        </w:rPr>
        <w:t>Manteniamo ragionevolmente il prodotto, ma non garantiamo che sia sempre privo di errori, senza interruzioni o pienamente idoneo a uno scopo specifico in ogni ambiente. Conserva copie di backup adeguate delle informazioni e dei file importanti. Qualsiasi limitazione della responsabilità si applica soltanto nei limiti consentiti dalla legge applicabile e non esclude responsabilità che non possono essere escluse per legge, non esonera dalla responsabilità prevista dalla legge per dolo o colpa grave e non riduce i diritti inderogabili del consumatore.</w:t>
      </w:r>
    </w:p>
    <w:p>
      <w:pPr>
        <w:pStyle w:val="Heading1"/>
        <w:keepLines w:val="0"/>
      </w:pPr>
      <w:r>
        <w:rPr>
          <w:rFonts w:ascii="Noto Sans" w:hAnsi="Noto Sans" w:eastAsia="Noto Sans TC" w:cs="Noto Sans"/>
          <w:b w:val="0"/>
        </w:rPr>
        <w:t>Cessazione dell’utilizzo e misure sul servizio</w:t>
      </w:r>
    </w:p>
    <w:p>
      <w:pPr>
        <w:keepLines w:val="0"/>
      </w:pPr>
      <w:r>
        <w:rPr>
          <w:rFonts w:ascii="Noto Sans" w:hAnsi="Noto Sans" w:eastAsia="Noto Sans TC" w:cs="Noto Sans"/>
          <w:b w:val="0"/>
        </w:rPr>
        <w:t>Puoi interrompere l’utilizzo e disinstallare il software. Disinstallazione, uscita dall’account e cancellazione dell’account DAWNBLOOM sono operazioni diverse; per cancellare l’account, utilizza la procedura ufficiale. In caso di rischi di sicurezza, attività illecite o gravi violazioni delle condizioni, possiamo adottare limitazioni necessarie e proporzionate e, quando possibile e consentito dalla legge, spiegarne i motivi e fornire modalità di contatto o ricorso.</w:t>
      </w:r>
    </w:p>
    <w:p>
      <w:pPr>
        <w:pStyle w:val="Heading1"/>
        <w:keepLines w:val="0"/>
      </w:pPr>
      <w:r>
        <w:rPr>
          <w:rFonts w:ascii="Noto Sans" w:hAnsi="Noto Sans" w:eastAsia="Noto Sans TC" w:cs="Noto Sans"/>
          <w:b w:val="0"/>
        </w:rPr>
        <w:t>Aggiornamenti delle condizioni e risoluzione delle controversie</w:t>
      </w:r>
    </w:p>
    <w:p>
      <w:pPr>
        <w:keepLines w:val="0"/>
      </w:pPr>
      <w:r>
        <w:rPr>
          <w:rFonts w:ascii="Noto Sans" w:hAnsi="Noto Sans" w:eastAsia="Noto Sans TC" w:cs="Noto Sans"/>
          <w:b w:val="0"/>
        </w:rPr>
        <w:t>Gli aggiornamenti delle condizioni riporteranno la data. Le modifiche rilevanti saranno comunicate con modalità ragionevoli e, ove la legge richieda un nuovo consenso esplicito, tale consenso sarà acquisito separatamente. Senza pregiudicare le norme imperative e i diritti dei consumatori del luogo in cui si trova l’utente, le presenti condizioni sono disciplinate dalla legge della Repubblica Popolare Cinese. Le controversie devono essere affrontate prima mediante consultazione amichevole; se non vengono risolte, possono essere sottoposte ai sensi di legge al tribunale competente, senza escludere i rimedi riconosciuti all’utente dalla legge.</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Condizioni d’uso di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