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Informazioni Legali e Avvisi di DAWNBLOOM</w:t>
      </w:r>
    </w:p>
    <w:p>
      <w:pPr>
        <w:keepLines w:val="0"/>
      </w:pPr>
      <w:r>
        <w:rPr>
          <w:rFonts w:ascii="Noto Sans" w:hAnsi="Noto Sans" w:eastAsia="Arial Unicode MS" w:cs="Noto Sans"/>
          <w:b w:val="0"/>
        </w:rPr>
        <w:t>Versione ufficiale</w:t>
      </w:r>
    </w:p>
    <w:p>
      <w:pPr>
        <w:keepLines w:val="0"/>
      </w:pPr>
      <w:r>
        <w:rPr>
          <w:rFonts w:ascii="Noto Sans" w:hAnsi="Noto Sans" w:eastAsia="Arial Unicode MS" w:cs="Noto Sans"/>
          <w:b w:val="0"/>
        </w:rPr>
        <w:t>Versione: V8</w:t>
      </w:r>
    </w:p>
    <w:p>
      <w:pPr>
        <w:keepLines w:val="0"/>
      </w:pPr>
      <w:r>
        <w:rPr>
          <w:rFonts w:ascii="Noto Sans" w:hAnsi="Noto Sans" w:eastAsia="Arial Unicode MS" w:cs="Noto Sans"/>
          <w:b w:val="0"/>
        </w:rPr>
        <w:t>Data di entrata in vigore: 10 ottobre 2026</w:t>
      </w:r>
    </w:p>
    <w:p>
      <w:pPr>
        <w:keepLines w:val="0"/>
      </w:pPr>
      <w:r>
        <w:rPr>
          <w:rFonts w:ascii="Noto Sans" w:hAnsi="Noto Sans" w:eastAsia="Arial Unicode MS" w:cs="Noto Sans"/>
          <w:b w:val="0"/>
        </w:rPr>
        <w:t>Data di aggiornamento: 10 ottobre 2026</w:t>
      </w:r>
    </w:p>
    <w:p>
      <w:pPr>
        <w:keepLines w:val="0"/>
      </w:pPr>
      <w:r>
        <w:rPr>
          <w:rFonts w:ascii="Noto Sans" w:hAnsi="Noto Sans" w:eastAsia="Arial Unicode MS" w:cs="Noto Sans"/>
          <w:b w:val="0"/>
        </w:rPr>
        <w:t xml:space="preserve">Siti interessati: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e sottodomini ufficiali</w:t>
      </w:r>
    </w:p>
    <w:p>
      <w:pPr>
        <w:keepLines w:val="0"/>
      </w:pPr>
      <w:r>
        <w:rPr>
          <w:rFonts w:ascii="Noto Sans" w:hAnsi="Noto Sans" w:eastAsia="Arial Unicode MS" w:cs="Noto Sans"/>
          <w:b w:val="0"/>
        </w:rPr>
        <w:t>Marchi interessati: i sette prodotti DAWNBLOOM</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Posizione del file</w:t>
              <w:br/>
              <w:t>Questo documento funge da portale legale ufficiale sul sito web: fornendo accesso pubblico all'entità operativa e ai canali ufficiali, dichiarazioni su diritti d'autore e marchi, identificatori di terze parti, procedure di segnalazione di violazione, licenze aperte per la ripubblicazione, dichiarazioni sul software open source, spiegazioni sul servizio giocatore AI e altri avvisi legali. Le politiche sulla privacy, il comportamento dei giocatori, l'utilizzo del sito web, la sicurezza degli account e le questioni relative a vendite e rimborsi sono regolate da documenti dedicati separati.</w:t>
            </w:r>
          </w:p>
        </w:tc>
      </w:tr>
    </w:tbl>
    <w:p>
      <w:pPr>
        <w:spacing w:after="40"/>
      </w:pPr>
    </w:p>
    <w:p>
      <w:pPr>
        <w:pStyle w:val="Heading1"/>
        <w:keepLines w:val="0"/>
      </w:pPr>
      <w:r>
        <w:rPr>
          <w:rFonts w:ascii="Noto Sans" w:hAnsi="Noto Sans" w:eastAsia="Arial Unicode MS" w:cs="Noto Sans"/>
          <w:b w:val="0"/>
        </w:rPr>
        <w:t>1. Identità Ufficiale, Entità Operativa e Accesso ai Documenti Legali</w:t>
      </w:r>
    </w:p>
    <w:p>
      <w:pPr>
        <w:keepLines w:val="0"/>
      </w:pPr>
      <w:r>
        <w:rPr>
          <w:rFonts w:ascii="Noto Sans" w:hAnsi="Noto Sans" w:eastAsia="Arial Unicode MS" w:cs="Noto Sans"/>
          <w:b w:val="0"/>
        </w:rPr>
        <w:t>DAWNBLOOM è gestito da 上海追光智创文化传媒有限公司. La tabella identifica il suo unico sito web globale e i punti di ingresso regionali per lingua. Gli ingressi regionali conducono solo al sito principale e non creano un operatore separato, account, servizio di pagamento o download o database. L'operatore ha fornito l'identità di registrazione dell'azienda per l'ingresso cinese. L'ingresso giapponese è stato registrato con assistenza; il suo titolare registrato e l'autorizzazione formale devono ancora essere verificati. Questo documento non rivendica la proprietà aziendale del dominio giapponese. I suffissi dei dominio non stabiliscono né hosting nella Cina continentale né registrazione ICP, né una società o filiale giapponese. Altri siti, gruppi, store e account social sono ufficiali solo quando espressamente elencati dal sito principale.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Progetto</w:t>
            </w:r>
          </w:p>
        </w:tc>
        <w:tc>
          <w:tcPr>
            <w:tcW w:type="dxa" w:w="4873"/>
            <w:vAlign w:val="center"/>
            <w:shd w:fill="DCE8F7"/>
          </w:tcPr>
          <w:p>
            <w:pPr>
              <w:keepNext/>
              <w:spacing w:after="40"/>
            </w:pPr>
            <w:r>
              <w:rPr>
                <w:rFonts w:ascii="Noto Sans" w:hAnsi="Noto Sans" w:eastAsia="Arial Unicode MS" w:cs="Noto Sans"/>
                <w:b/>
                <w:sz w:val="17"/>
              </w:rPr>
              <w:t>Informazioni ufficiali</w:t>
            </w:r>
          </w:p>
        </w:tc>
      </w:tr>
      <w:tr>
        <w:trPr>
          <w:cantSplit/>
        </w:trPr>
        <w:tc>
          <w:tcPr>
            <w:tcW w:type="dxa" w:w="4873"/>
            <w:vAlign w:val="center"/>
          </w:tcPr>
          <w:p>
            <w:pPr>
              <w:spacing w:after="40"/>
            </w:pPr>
            <w:r>
              <w:rPr>
                <w:rFonts w:ascii="Noto Sans" w:hAnsi="Noto Sans" w:eastAsia="Arial Unicode MS" w:cs="Noto Sans"/>
                <w:sz w:val="17"/>
              </w:rPr>
              <w:t>Operatore / fornitore di servizi del sito web</w:t>
            </w:r>
          </w:p>
        </w:tc>
        <w:tc>
          <w:tcPr>
            <w:tcW w:type="dxa" w:w="4873"/>
            <w:vAlign w:val="center"/>
          </w:tcPr>
          <w:p>
            <w:pPr>
              <w:spacing w:after="40"/>
            </w:pPr>
            <w:r>
              <w:rPr>
                <w:rFonts w:ascii="Noto Sans" w:hAnsi="Noto Sans" w:eastAsia="Arial Unicode MS" w:cs="Noto Sans"/>
                <w:sz w:val="17"/>
              </w:rPr>
              <w:t>上海追光智创文化传媒有限公司 (Nome pubblico inglese: SHANGHAI LUMIREALM CREATIVE MEDIA CO., LTD.)</w:t>
            </w:r>
          </w:p>
        </w:tc>
      </w:tr>
      <w:tr>
        <w:trPr>
          <w:cantSplit/>
        </w:trPr>
        <w:tc>
          <w:tcPr>
            <w:tcW w:type="dxa" w:w="4873"/>
            <w:vAlign w:val="center"/>
          </w:tcPr>
          <w:p>
            <w:pPr>
              <w:spacing w:after="40"/>
            </w:pPr>
            <w:r>
              <w:rPr>
                <w:rFonts w:ascii="Noto Sans" w:hAnsi="Noto Sans" w:eastAsia="Arial Unicode MS" w:cs="Noto Sans"/>
                <w:sz w:val="17"/>
              </w:rPr>
              <w:t>Unico sito web globale</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Ingresso lingua cinese</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Ingresso lingua giapponese</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(disponibile; HTTPS 301)</w:t>
            </w:r>
          </w:p>
        </w:tc>
      </w:tr>
      <w:tr>
        <w:trPr>
          <w:cantSplit/>
        </w:trPr>
        <w:tc>
          <w:tcPr>
            <w:tcW w:type="dxa" w:w="4873"/>
            <w:vAlign w:val="center"/>
          </w:tcPr>
          <w:p>
            <w:pPr>
              <w:spacing w:after="40"/>
            </w:pPr>
            <w:r>
              <w:rPr>
                <w:rFonts w:ascii="Noto Sans" w:hAnsi="Noto Sans" w:eastAsia="Arial Unicode MS" w:cs="Noto Sans"/>
                <w:sz w:val="17"/>
              </w:rPr>
              <w:t>Ingresso ufficiale lingua coreana</w:t>
            </w:r>
          </w:p>
        </w:tc>
        <w:tc>
          <w:tcPr>
            <w:tcW w:type="dxa" w:w="4873"/>
            <w:vAlign w:val="center"/>
          </w:tcPr>
          <w:p>
            <w:pPr>
              <w:spacing w:after="40"/>
            </w:pPr>
            <w:r>
              <w:rPr>
                <w:rFonts w:ascii="Noto Sans" w:hAnsi="Noto Sans" w:eastAsia="Arial Unicode MS" w:cs="Noto Sans"/>
                <w:sz w:val="17"/>
              </w:rPr>
              <w:t xml:space="preserve">Le voci ufficiali in coreano dawnbloom.kr e www.dawnbloom.kr utilizzano reindirizzamenti HTTPS 301 verso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I cambiamenti DNS potrebbero richiedere tempo per propagarsi. Utilizzano il sito web unificato e non creano un sito web separato, account, database o server di gioco coreano.</w:t>
            </w:r>
          </w:p>
        </w:tc>
      </w:tr>
      <w:tr>
        <w:trPr>
          <w:cantSplit/>
        </w:trPr>
        <w:tc>
          <w:tcPr>
            <w:tcW w:type="dxa" w:w="4873"/>
            <w:vAlign w:val="center"/>
          </w:tcPr>
          <w:p>
            <w:pPr>
              <w:spacing w:after="40"/>
            </w:pPr>
            <w:r>
              <w:rPr>
                <w:rFonts w:ascii="Noto Sans" w:hAnsi="Noto Sans" w:eastAsia="Arial Unicode MS" w:cs="Noto Sans"/>
                <w:sz w:val="17"/>
              </w:rPr>
              <w:t>Servizio clienti generale</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Contatto legale/diritti d'autore</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Segnalazione di vulnerabilità di sicurezza</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Indirizzo operativo / indirizzo di contatto legale</w:t>
            </w:r>
          </w:p>
        </w:tc>
        <w:tc>
          <w:tcPr>
            <w:tcW w:type="dxa" w:w="4873"/>
            <w:vAlign w:val="center"/>
          </w:tcPr>
          <w:p>
            <w:pPr>
              <w:spacing w:after="40"/>
            </w:pPr>
            <w:r>
              <w:rPr>
                <w:rFonts w:ascii="Noto Sans" w:hAnsi="Noto Sans" w:eastAsia="Arial Unicode MS" w:cs="Noto Sans"/>
                <w:sz w:val="17"/>
              </w:rPr>
              <w:t>Stanza 218, Edificio 3, N. 336 Via Tianjiao, Area Speciale di Lin-gang, Zona Pilota di Libero Scambio della Cina (Shanghai), Cina</w:t>
            </w:r>
          </w:p>
        </w:tc>
      </w:tr>
    </w:tbl>
    <w:p>
      <w:pPr>
        <w:spacing w:after="40"/>
      </w:pPr>
    </w:p>
    <w:p>
      <w:pPr>
        <w:keepLines w:val="0"/>
      </w:pPr>
      <w:r>
        <w:rPr>
          <w:rFonts w:ascii="Noto Sans" w:hAnsi="Noto Sans" w:eastAsia="Arial Unicode MS" w:cs="Noto Sans"/>
          <w:b w:val="0"/>
        </w:rPr>
        <w:t>L’indice legale del sito ufficiale riunisce l’Informativa sulla privacy DAWNBLOOM V8 unificata, che copre il gioco, le sei applicazioni, il sito ufficiale, gli account, la comunità e l’assistenza, le Condizioni d’uso dei prodotti e servizi DAWNBLOOM, le Condizioni di servizio di DAWNBLOOM Browser, il Codice dei giocatori e le regole sulle sanzioni per violazioni, le Condizioni di vendita e rimborso, la Politica sui Cookie e sulle tecnologie analoghe, le Linee guida sulle opere derivate e sui contenuti dei fan, l’Avviso sui canali ufficiali e sulla prevenzione delle truffe e il presente documento. Per l’ambito specifico, le versioni e le indicazioni relative a ciascun prodotto fanno fede le rispettive pagine ufficiali; le condizioni specifiche del browser non applicano le regole del gioco alla normale navigazione.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Promemoria antitruffa: DAWNBLOOM ufficiale, lo Spirito dell’Alba e il suo personale non richiederanno mai la tua password dell’account, password di pagamento, dettagli completi della carta bancaria o un codice di verifica unico completo tramite messaggi privati. Se incontri qualcuno che si finge un "GM", "assistenza clienti" o "rappresentante ufficiale" chiedendoti di trasferire denaro privatamente, installare software non verificato, condividere lo schermo o fornire password o codici di verifica completi, interrompi immediatamente tutte le azioni e verifica la richiesta tramite il sito web ufficiale o i canali ufficiali di assistenza clienti.</w:t>
            </w:r>
          </w:p>
        </w:tc>
      </w:tr>
    </w:tbl>
    <w:p>
      <w:pPr>
        <w:spacing w:after="40"/>
      </w:pPr>
    </w:p>
    <w:p>
      <w:pPr>
        <w:pStyle w:val="Heading1"/>
        <w:keepLines w:val="0"/>
      </w:pPr>
      <w:r>
        <w:rPr>
          <w:rFonts w:ascii="Noto Sans" w:hAnsi="Noto Sans" w:eastAsia="Arial Unicode MS" w:cs="Noto Sans"/>
          <w:b w:val="0"/>
        </w:rPr>
        <w:t>2. Proprietà Intellettuale e Identità del Marchio DAWNBLOOM</w:t>
      </w:r>
    </w:p>
    <w:p>
      <w:pPr>
        <w:keepLines w:val="0"/>
      </w:pPr>
      <w:r>
        <w:rPr>
          <w:rFonts w:ascii="Noto Sans" w:hAnsi="Noto Sans" w:eastAsia="Arial Unicode MS" w:cs="Noto Sans"/>
          <w:b w:val="0"/>
        </w:rPr>
        <w:t>Salvo diversa esplicita indicazione o proprietà di terzi, i contenuti di DAWNBLOOM e del suo sito web ufficiale, applicazione client e canali promozionali — inclusi nomi dei giochi, loghi, personaggi, Bestie Fantasma, mappe, cosmologie, trame, testi, opere d'arte, interfacce, icone, animazioni, musica, effetti sonori, video, design visivo del sito, codice software, struttura del database e altri elementi originali e creativi — sono protetti da diritti d'autore, leggi sui marchi, legge sulla concorrenza sleale e altre leggi applicabili.</w:t>
      </w:r>
    </w:p>
    <w:p>
      <w:pPr>
        <w:keepLines w:val="0"/>
      </w:pPr>
      <w:r>
        <w:rPr>
          <w:rFonts w:ascii="Noto Sans" w:hAnsi="Noto Sans" w:eastAsia="Arial Unicode MS" w:cs="Noto Sans"/>
          <w:b w:val="0"/>
        </w:rPr>
        <w:t>Il materiale di proprietà di DAWNBLOOM include anche i nomi, le icone, le interfacce, i design client, le pagine prodotto, gli screenshot pubblicati e i codici delle sei app. Le notizie, i siti web visitati nel Browser, le email degli utenti e i contenuti dei provider di posta non diventano proprietà di DAWNBLOOM semplicemente perché un’app li mostra.</w:t>
      </w:r>
    </w:p>
    <w:p>
      <w:pPr>
        <w:keepLines w:val="0"/>
      </w:pPr>
      <w:r>
        <w:rPr>
          <w:rFonts w:ascii="Noto Sans" w:hAnsi="Noto Sans" w:eastAsia="Arial Unicode MS" w:cs="Noto Sans"/>
          <w:b w:val="0"/>
        </w:rPr>
        <w:t>"DAWNBLOOM" e i relativi marchi grafici servono come identificatori di marca ufficiali del progetto. Le domande di registrazione del marchio, le registrazioni e l'ambito di protezione sono soggetti all'approvazione finale e ai beni e servizi designati determinati dalle autorità nazionali per la proprietà intellettuale. Il simbolo di marchio registrato (®) e designazioni simili devono essere utilizzati esclusivamente quando il marchio è stato legalmente approvato e registrato, ed è utilizzato entro l'ambito ufficialmente designato; qualsiasi marchio attualmente in fase di domanda, esame o in attesa di approvazione finale non deve essere promosso in modo da indurre il pubblico a credere di aver ottenuto diritti esclusivi sul marchio.</w:t>
      </w:r>
    </w:p>
    <w:p>
      <w:pPr>
        <w:keepLines w:val="0"/>
      </w:pPr>
      <w:r>
        <w:rPr>
          <w:rFonts w:ascii="Noto Sans" w:hAnsi="Noto Sans" w:eastAsia="Arial Unicode MS" w:cs="Noto Sans"/>
          <w:b w:val="0"/>
        </w:rPr>
        <w:t>Le dichiarazioni sui diritti in questo documento non ampliano i diritti esclusivi concessi dalla legge né limitano usi leciti e ragionevoli quali citazione, commento, cronaca giornalistica o altri usi che non richiedano un permesso separato.</w:t>
      </w:r>
    </w:p>
    <w:p>
      <w:pPr>
        <w:pStyle w:val="Heading1"/>
        <w:keepLines w:val="0"/>
      </w:pPr>
      <w:r>
        <w:rPr>
          <w:rFonts w:ascii="Noto Sans" w:hAnsi="Noto Sans" w:eastAsia="Arial Unicode MS" w:cs="Noto Sans"/>
          <w:b w:val="0"/>
        </w:rPr>
        <w:t>3. Licenza di Ridistribuzione Gratuita per Contenuti Pubblici Ufficiali</w:t>
      </w:r>
    </w:p>
    <w:p>
      <w:pPr>
        <w:keepLines w:val="0"/>
      </w:pPr>
      <w:r>
        <w:rPr>
          <w:rFonts w:ascii="Noto Sans" w:hAnsi="Noto Sans" w:eastAsia="Arial Unicode MS" w:cs="Noto Sans"/>
          <w:b w:val="0"/>
        </w:rPr>
        <w:t>DAWNBLOOM dà il benvenuto a giocatori, media, streamer, comunità e creatori di contenuti per diffondere pubblicamente le informazioni sul gioco disponibili. Per i contenuti pubblicati ufficialmente tramite il sito web ufficiale, le piattaforme ufficiali della community o gli account ufficiali dei social media, e che non abbiano specificato altrimenti restrizioni d'uso, l'operatore concede con la presente una licenza globale, non esclusiva e royalty-free per la ripubblicazione e la condivisione, senza necessità di approvazione preventiva:</w:t>
      </w:r>
    </w:p>
    <w:p>
      <w:pPr>
        <w:pStyle w:val="ListBullet"/>
        <w:keepLines w:val="0"/>
      </w:pPr>
      <w:r>
        <w:rPr>
          <w:rFonts w:ascii="Noto Sans" w:hAnsi="Noto Sans" w:eastAsia="Arial Unicode MS" w:cs="Noto Sans"/>
          <w:b w:val="0"/>
        </w:rPr>
        <w:t>Notizie ufficiali, annunci, note di aggiornamento delle versioni e informazioni sugli eventi pubblici;</w:t>
      </w:r>
    </w:p>
    <w:p>
      <w:pPr>
        <w:pStyle w:val="ListBullet"/>
        <w:keepLines w:val="0"/>
      </w:pPr>
      <w:r>
        <w:rPr>
          <w:rFonts w:ascii="Noto Sans" w:hAnsi="Noto Sans" w:eastAsia="Arial Unicode MS" w:cs="Noto Sans"/>
          <w:b w:val="0"/>
        </w:rPr>
        <w:t>Guide pubbliche ufficiali, FAQ e spiegazioni delle regole visibili ai giocatori;</w:t>
      </w:r>
    </w:p>
    <w:p>
      <w:pPr>
        <w:pStyle w:val="ListBullet"/>
        <w:keepLines w:val="0"/>
      </w:pPr>
      <w:r>
        <w:rPr>
          <w:rFonts w:ascii="Noto Sans" w:hAnsi="Noto Sans" w:eastAsia="Arial Unicode MS" w:cs="Noto Sans"/>
          <w:b w:val="0"/>
        </w:rPr>
        <w:t>Screenshot promozionali ufficiali, poster, banner e materiali per i social media utilizzati per la diffusione pubblica;</w:t>
      </w:r>
    </w:p>
    <w:p>
      <w:pPr>
        <w:pStyle w:val="ListBullet"/>
        <w:keepLines w:val="0"/>
      </w:pPr>
      <w:r>
        <w:rPr>
          <w:rFonts w:ascii="Noto Sans" w:hAnsi="Noto Sans" w:eastAsia="Arial Unicode MS" w:cs="Noto Sans"/>
          <w:b w:val="0"/>
        </w:rPr>
        <w:t>Altri materiali esplicitamente contrassegnati dall'operatore come distribuibili al pubblico.</w:t>
      </w:r>
    </w:p>
    <w:p>
      <w:pPr>
        <w:keepLines w:val="0"/>
      </w:pPr>
      <w:r>
        <w:rPr>
          <w:rFonts w:ascii="Noto Sans" w:hAnsi="Noto Sans" w:eastAsia="Arial Unicode MS" w:cs="Noto Sans"/>
          <w:b w:val="0"/>
        </w:rPr>
        <w:t>Per l'adattamento ad articoli, video, dirette, social media o formati diversi, possono essere eseguite ridimensionamento, ritaglio, compressione, sottotitolazione o conversione di formato necessari; tuttavia, l'intento originale dei contenuti ufficiali non deve essere distorto, le dichiarazioni ufficiali non devono essere falsificate, non deve essere creata confusione sulla fonte né impersonata l'identità ufficiale. È inoltre vietato indurre in errore il pubblico facendogli credere che qualsiasi contenuto, prodotto o servizio correlato abbia ottenuto autorizzazione, certificazione o endorsement ufficiale da DAWNBLOOM.</w:t>
      </w:r>
    </w:p>
    <w:p>
      <w:pPr>
        <w:pStyle w:val="Heading1"/>
        <w:keepLines w:val="0"/>
      </w:pPr>
      <w:r>
        <w:rPr>
          <w:rFonts w:ascii="Noto Sans" w:hAnsi="Noto Sans" w:eastAsia="Arial Unicode MS" w:cs="Noto Sans"/>
          <w:b w:val="0"/>
        </w:rPr>
        <w:t>3.1 Questa licenza di ridistribuzione gratuita NON si estende a quanto segue:</w:t>
      </w:r>
    </w:p>
    <w:p>
      <w:pPr>
        <w:pStyle w:val="ListBullet"/>
        <w:keepLines w:val="0"/>
      </w:pPr>
      <w:r>
        <w:rPr>
          <w:rFonts w:ascii="Noto Sans" w:hAnsi="Noto Sans" w:eastAsia="Arial Unicode MS" w:cs="Noto Sans"/>
          <w:b w:val="0"/>
        </w:rPr>
        <w:t>Impersonificare DAWNBLOOM, creare un sito web ufficiale falso, un servizio clienti ufficiale falso, un evento ufficiale falso, un annuncio ufficiale falso o una relazione di autorizzazione ufficiale falsa;</w:t>
      </w:r>
    </w:p>
    <w:p>
      <w:pPr>
        <w:pStyle w:val="ListBullet"/>
        <w:keepLines w:val="0"/>
      </w:pPr>
      <w:r>
        <w:rPr>
          <w:rFonts w:ascii="Noto Sans" w:hAnsi="Noto Sans" w:eastAsia="Arial Unicode MS" w:cs="Noto Sans"/>
          <w:b w:val="0"/>
        </w:rPr>
        <w:t>È severamente vietato utilizzare il nome, il logo, i personaggi, le opere d'arte o altri materiali di DAWNBLOOM per creare, promuovere o gestire server privati non autorizzati, software client piratati, giochi contraffatti, pagine fraudolente o servizi commerciali che potrebbero indurre in errore gli utenti facendoli credere affiliati al gioco ufficiale;</w:t>
      </w:r>
    </w:p>
    <w:p>
      <w:pPr>
        <w:pStyle w:val="ListBullet"/>
        <w:keepLines w:val="0"/>
      </w:pPr>
      <w:r>
        <w:rPr>
          <w:rFonts w:ascii="Noto Sans" w:hAnsi="Noto Sans" w:eastAsia="Arial Unicode MS" w:cs="Noto Sans"/>
          <w:b w:val="0"/>
        </w:rPr>
        <w:t>Estrarre, ricomporre, vendere o distribuire file d'arte originali, codice sorgente, file sorgente di musica/effetti sonori, file di font, materiali non pubblicati, documenti di pianificazione interni, dati backend, tabelle di probabilità non pubblicate, formule interne, moltiplicatori o altri asset non pubblici;</w:t>
      </w:r>
    </w:p>
    <w:p>
      <w:pPr>
        <w:pStyle w:val="ListBullet"/>
        <w:keepLines w:val="0"/>
      </w:pPr>
      <w:r>
        <w:rPr>
          <w:rFonts w:ascii="Noto Sans" w:hAnsi="Noto Sans" w:eastAsia="Arial Unicode MS" w:cs="Noto Sans"/>
          <w:b w:val="0"/>
        </w:rPr>
        <w:t>Modificare i pacchetti di installazione ufficiali, le patch o i file eseguibili e ridistribuirli sotto il nome di una versione ufficiale;</w:t>
      </w:r>
    </w:p>
    <w:p>
      <w:pPr>
        <w:pStyle w:val="ListBullet"/>
        <w:keepLines w:val="0"/>
      </w:pPr>
      <w:r>
        <w:rPr>
          <w:rFonts w:ascii="Noto Sans" w:hAnsi="Noto Sans" w:eastAsia="Arial Unicode MS" w:cs="Noto Sans"/>
          <w:b w:val="0"/>
        </w:rPr>
        <w:t>Utilizzo di materiali ufficiali per frode, deviazione malevola del traffico, transazioni illegali, violazione dei beni o qualsiasi altro uso che danneggi chiaramente la sicurezza dei giocatori o gli interessi legittimi del progetto.</w:t>
      </w:r>
    </w:p>
    <w:p>
      <w:pPr>
        <w:keepLines w:val="0"/>
      </w:pPr>
      <w:r>
        <w:rPr>
          <w:rFonts w:ascii="Noto Sans" w:hAnsi="Noto Sans" w:eastAsia="Arial Unicode MS" w:cs="Noto Sans"/>
          <w:b w:val="0"/>
        </w:rPr>
        <w:t>Le trasmissioni in diretta normali, le registrazioni, i video guida, i commenti, le discussioni di fan fiction e la condivisione comunitaria da parte dei giocatori non sono soggetti a restrizioni aggiuntive ai sensi di questa licenza; quando coinvolgono musica di terze parti, font, loghi di piattaforma o altri materiali di terzi, tale utilizzo deve anche rispettare le regole dei rispettivi titolari dei diritti.</w:t>
      </w:r>
    </w:p>
    <w:p>
      <w:pPr>
        <w:pStyle w:val="Heading1"/>
        <w:keepLines w:val="0"/>
      </w:pPr>
      <w:r>
        <w:rPr>
          <w:rFonts w:ascii="Noto Sans" w:hAnsi="Noto Sans" w:eastAsia="Arial Unicode MS" w:cs="Noto Sans"/>
          <w:b w:val="0"/>
        </w:rPr>
        <w:t>4. Contenuti Generati dagli Utenti, DAWNBLOOM Community e Segnalazioni di Violazione del Copyright</w:t>
      </w:r>
    </w:p>
    <w:p>
      <w:pPr>
        <w:keepLines w:val="0"/>
      </w:pPr>
      <w:r>
        <w:rPr>
          <w:rFonts w:ascii="Noto Sans" w:hAnsi="Noto Sans" w:eastAsia="Arial Unicode MS" w:cs="Noto Sans"/>
          <w:b w:val="0"/>
        </w:rPr>
        <w:t>Se ritieni che i contenuti generati dagli utenti nella DAWNBLOOM Community ufficiale o in altre pagine ufficiali di DAWNBLOOM violino i tuoi diritti d'autore, diritti di marchio, diritto all'immagine, diritti di reputazione o qualsiasi altro diritto e interesse legittimo, puoi presentare un reclamo tramite il canale di contatto legale/diritti d'autore ufficiale. Ai fini della verifica, consigliamo di fornire:</w:t>
      </w:r>
    </w:p>
    <w:p>
      <w:pPr>
        <w:keepLines w:val="0"/>
      </w:pPr>
      <w:r>
        <w:rPr>
          <w:rFonts w:ascii="Noto Sans" w:hAnsi="Noto Sans" w:eastAsia="Arial Unicode MS" w:cs="Noto Sans"/>
          <w:b w:val="0"/>
        </w:rPr>
        <w:t>Se ritieni che i contenuti generati dagli utenti sulla DAWNBLOOM Community ufficiale o su altre pagine ufficiali di DAWNBLOOM violino i tuoi diritti d'autore, diritti di marchio, diritto all'immagine, diritti alla reputazione o qualsiasi altro diritto e interesse legittimo, puoi presentare un reclamo tramite il canale di contatto legale/diritti d'autore ufficiale. Per scopi di verifica, consigliamo di fornire:</w:t>
      </w:r>
    </w:p>
    <w:p>
      <w:pPr>
        <w:pStyle w:val="ListBullet"/>
        <w:keepLines w:val="0"/>
      </w:pPr>
      <w:r>
        <w:rPr>
          <w:rFonts w:ascii="Noto Sans" w:hAnsi="Noto Sans" w:eastAsia="Arial Unicode MS" w:cs="Noto Sans"/>
          <w:b w:val="0"/>
        </w:rPr>
        <w:t>Il nome o ragione sociale del titolare dei diritti e le informazioni di contatto, incluse e-mail, telefono o altri dettagli di contatto;</w:t>
      </w:r>
    </w:p>
    <w:p>
      <w:pPr>
        <w:pStyle w:val="ListBullet"/>
        <w:keepLines w:val="0"/>
      </w:pPr>
      <w:r>
        <w:rPr>
          <w:rFonts w:ascii="Noto Sans" w:hAnsi="Noto Sans" w:eastAsia="Arial Unicode MS" w:cs="Noto Sans"/>
          <w:b w:val="0"/>
        </w:rPr>
        <w:t>Prove che stabiliscano preliminarmente la proprietà o l'autorizzazione;</w:t>
      </w:r>
    </w:p>
    <w:p>
      <w:pPr>
        <w:pStyle w:val="ListBullet"/>
        <w:keepLines w:val="0"/>
      </w:pPr>
      <w:r>
        <w:rPr>
          <w:rFonts w:ascii="Noto Sans" w:hAnsi="Noto Sans" w:eastAsia="Arial Unicode MS" w:cs="Noto Sans"/>
          <w:b w:val="0"/>
        </w:rPr>
        <w:t>L'URL del contenuto segnalato, ID del post, screenshot o altre informazioni di identificazione precise;</w:t>
      </w:r>
    </w:p>
    <w:p>
      <w:pPr>
        <w:pStyle w:val="ListBullet"/>
        <w:keepLines w:val="0"/>
      </w:pPr>
      <w:r>
        <w:rPr>
          <w:rFonts w:ascii="Noto Sans" w:hAnsi="Noto Sans" w:eastAsia="Arial Unicode MS" w:cs="Noto Sans"/>
          <w:b w:val="0"/>
        </w:rPr>
        <w:t>Una breve dichiarazione sulla presunta violazione e l'azione desiderata;</w:t>
      </w:r>
    </w:p>
    <w:p>
      <w:pPr>
        <w:pStyle w:val="ListBullet"/>
        <w:keepLines w:val="0"/>
      </w:pPr>
      <w:r>
        <w:rPr>
          <w:rFonts w:ascii="Noto Sans" w:hAnsi="Noto Sans" w:eastAsia="Arial Unicode MS" w:cs="Noto Sans"/>
          <w:b w:val="0"/>
        </w:rPr>
        <w:t>Una dichiarazione che conferma l'accuratezza e l'autenticità del reclamo, e la disponibilità ad assumere la responsabilità per qualsiasi affermazione maligna o falsa.</w:t>
      </w:r>
    </w:p>
    <w:p>
      <w:pPr>
        <w:keepLines w:val="0"/>
      </w:pPr>
      <w:r>
        <w:rPr>
          <w:rFonts w:ascii="Noto Sans" w:hAnsi="Noto Sans" w:eastAsia="Arial Unicode MS" w:cs="Noto Sans"/>
          <w:b w:val="0"/>
        </w:rPr>
        <w:t>Ricevuta una notifica contenente informazioni di base verificabili, l'operatore dovrà, in base alla natura del contenuto, alle prove preliminari e alle leggi applicabili, adottare tempestivamente misure ragionevoli come contattare l'editore del contenuto, limitare la visualizzazione, bloccare temporaneamente, rimuovere contenuti, disconnettere link, preservare prove, ripristinare contenuti cancellati accidentalmente, fornire canali per ricorsi o contro-dichiarazioni, o rigettare chiaramente reclami manifestamente infondati.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In base alle normative attuali cinesi sul copyright in rete e alla prassi giudiziaria, si dà risalto al meccanismo di "segnalazione-rimozione". Le segnalazioni di violazione del diritto d'autore devono includere informazioni sufficienti a identificare il contenuto e prove preliminari che sostengano la pretesa di diritti o la violazione; ricevuta una segnalazione valida, la piattaforma deve adottare tempestivamente le azioni necessarie in base alle circostanze specifiche.</w:t>
            </w:r>
          </w:p>
        </w:tc>
      </w:tr>
    </w:tbl>
    <w:p>
      <w:pPr>
        <w:spacing w:after="40"/>
      </w:pPr>
    </w:p>
    <w:p>
      <w:pPr>
        <w:pStyle w:val="Heading1"/>
        <w:keepLines w:val="0"/>
      </w:pPr>
      <w:r>
        <w:rPr>
          <w:rFonts w:ascii="Noto Sans" w:hAnsi="Noto Sans" w:eastAsia="Arial Unicode MS" w:cs="Noto Sans"/>
          <w:b w:val="0"/>
        </w:rPr>
        <w:t>5. Segnalazioni di Violazione del Copyright da Parte di Utenti degli Stati Uniti</w:t>
      </w:r>
    </w:p>
    <w:p>
      <w:pPr>
        <w:keepLines w:val="0"/>
      </w:pPr>
      <w:r>
        <w:rPr>
          <w:rFonts w:ascii="Noto Sans" w:hAnsi="Noto Sans" w:eastAsia="Arial Unicode MS" w:cs="Noto Sans"/>
          <w:b w:val="0"/>
        </w:rPr>
        <w:t xml:space="preserve">Se ritieni che contenuti su DAWNBLOOM Community o sul sito ufficiale violino il tuo copyright, invia l'URL del contenuto, i dettagli dell'opera protetta, la prova di proprietà o autorizzazione e un'email di contatto a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Esamineremo e risponderemo secondo le regole applicabili.</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è attualmente il canale generale per le denunce di copyright. Questa pagina non afferma che un agente designato sia stato registrato ai sensi dell'art. 512 del DMCA, né presenta la casella di posta generale come agente designato registrato.</w:t>
      </w:r>
    </w:p>
    <w:p>
      <w:pPr>
        <w:keepLines w:val="0"/>
      </w:pPr>
      <w:r>
        <w:rPr>
          <w:rFonts w:ascii="Noto Sans" w:hAnsi="Noto Sans" w:eastAsia="Arial Unicode MS" w:cs="Noto Sans"/>
          <w:b w:val="0"/>
        </w:rPr>
        <w:t>Se viene introdotto un processo dedicato di notifica, rimozione e contro-notifica negli Stati Uniti, il suo ambito, le informazioni richieste e le fasi di gestione saranno pubblicati nel punto di accesso formale.</w:t>
      </w:r>
    </w:p>
    <w:p>
      <w:pPr>
        <w:keepLines w:val="0"/>
      </w:pPr>
      <w:r>
        <w:rPr>
          <w:rFonts w:ascii="Noto Sans" w:hAnsi="Noto Sans" w:eastAsia="Arial Unicode MS" w:cs="Noto Sans"/>
          <w:b w:val="0"/>
        </w:rPr>
        <w:t>Se ritieni che il tuo contenuto sia stato rimosso per errore, puoi anche richiedere una revisione tramite quell'email allegando l'URL originale del contenuto, la notifica di rimozione, la base dei tuoi diritti o autorizzazione e i dettagli di contatto.</w:t>
      </w:r>
    </w:p>
    <w:p>
      <w:pPr>
        <w:pStyle w:val="Heading1"/>
        <w:keepLines w:val="0"/>
      </w:pPr>
      <w:r>
        <w:rPr>
          <w:rFonts w:ascii="Noto Sans" w:hAnsi="Noto Sans" w:eastAsia="Arial Unicode MS" w:cs="Noto Sans"/>
          <w:b w:val="0"/>
        </w:rPr>
        <w:t>6. Copyright in Giappone e Contenuti Generati dagli Utenti</w:t>
      </w:r>
    </w:p>
    <w:p>
      <w:pPr>
        <w:keepLines w:val="0"/>
      </w:pPr>
      <w:r>
        <w:rPr>
          <w:rFonts w:ascii="Noto Sans" w:hAnsi="Noto Sans" w:eastAsia="Arial Unicode MS" w:cs="Noto Sans"/>
          <w:b w:val="0"/>
        </w:rPr>
        <w:t>Quando si forniscono contenuti agli utenti giapponesi, qualsiasi condivisione pubblica, caricamento o utilizzo di opere di terzi deve generalmente rispettare la Legge sul Diritto d'Autore giapponese e l'ambito dell'autorizzazione detenuta dai rispettivi titolari dei diritti. La licenza concessa da DAWNBLOOM per la condivisione di materiali ufficiali copre solo il contenuto ufficiale esplicitamente consentito nella Sezione 3 di questo documento e non costituisce autorizzazione da parte di altri titolari dei diritti.</w:t>
      </w:r>
    </w:p>
    <w:p>
      <w:pPr>
        <w:keepLines w:val="0"/>
      </w:pPr>
      <w:r>
        <w:rPr>
          <w:rFonts w:ascii="Noto Sans" w:hAnsi="Noto Sans" w:eastAsia="Arial Unicode MS" w:cs="Noto Sans"/>
          <w:b w:val="0"/>
        </w:rPr>
        <w:t>Se i contenuti caricati dagli utenti giapponesi sono oggetto di reclamo da parte dei titolari dei diritti, l'operatore può effettuare verifiche e trattamenti conformemente alle leggi applicabili, alle regole della piattaforma e ai meccanismi specificati nella Sezione 4 di questo documento. Per i limiti applicabili a fanfiction, streaming live, montaggio video e altre opere di fan, consulta le attuali Linee guida sui Contenuti dei Fan e Opere Derivate.</w:t>
      </w:r>
    </w:p>
    <w:p>
      <w:pPr>
        <w:pStyle w:val="Heading1"/>
        <w:keepLines w:val="0"/>
      </w:pPr>
      <w:r>
        <w:rPr>
          <w:rFonts w:ascii="Noto Sans" w:hAnsi="Noto Sans" w:eastAsia="Arial Unicode MS" w:cs="Noto Sans"/>
          <w:b w:val="0"/>
        </w:rPr>
        <w:t>7. Dichiarazioni su Marchi e Marchi di Terze Parti</w:t>
      </w:r>
    </w:p>
    <w:p>
      <w:pPr>
        <w:keepLines w:val="0"/>
      </w:pPr>
      <w:r>
        <w:rPr>
          <w:rFonts w:ascii="Noto Sans" w:hAnsi="Noto Sans" w:eastAsia="Arial Unicode MS" w:cs="Noto Sans"/>
          <w:b w:val="0"/>
        </w:rPr>
        <w:t>Il sito web di DAWNBLOOM, l'applicazione client o i materiali promozionali possono fare riferimento a nomi, marchi commerciali, marchi di servizio o loghi ufficiali di terze parti per illustrare la compatibilità con la piattaforma, i punti di download, i metodi di pagamento, i canali della community o servizi correlati. Tali riferimenti sono esclusivamente a scopo di identificazione e non implicano che il terzo partecipi allo sviluppo, alla distribuzione, all'esercizio, al patrocinio, alla certificazione o al sostegno di DAWNBLOOM, salvo diversa esplicita dichiarazione scritta.</w:t>
      </w:r>
    </w:p>
    <w:p>
      <w:pPr>
        <w:keepLines w:val="0"/>
      </w:pPr>
      <w:r>
        <w:rPr>
          <w:rFonts w:ascii="Noto Sans" w:hAnsi="Noto Sans" w:eastAsia="Arial Unicode MS" w:cs="Noto Sans"/>
          <w:b w:val="0"/>
        </w:rPr>
        <w:t>I nomi e marchi come Apple, Google, Microsoft, Steam, App Store, Google Play, Gmail e Outlook appartengono ai rispettivi proprietari. Un riferimento alla compatibilità o un link allo store non implica partnership o approvazione.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Esempi di identificatori di terze parti</w:t>
            </w:r>
          </w:p>
        </w:tc>
        <w:tc>
          <w:tcPr>
            <w:tcW w:type="dxa" w:w="4873"/>
            <w:vAlign w:val="center"/>
            <w:shd w:fill="DCE8F7"/>
          </w:tcPr>
          <w:p>
            <w:pPr>
              <w:keepNext/>
              <w:spacing w:after="40"/>
            </w:pPr>
            <w:r>
              <w:rPr>
                <w:rFonts w:ascii="Noto Sans" w:hAnsi="Noto Sans" w:eastAsia="Arial Unicode MS" w:cs="Noto Sans"/>
                <w:b/>
                <w:sz w:val="17"/>
              </w:rPr>
              <w:t>Spiegazione</w:t>
            </w:r>
          </w:p>
        </w:tc>
      </w:tr>
      <w:tr>
        <w:trPr>
          <w:cantSplit/>
        </w:trPr>
        <w:tc>
          <w:tcPr>
            <w:tcW w:type="dxa" w:w="4873"/>
            <w:vAlign w:val="center"/>
          </w:tcPr>
          <w:p>
            <w:pPr>
              <w:spacing w:after="40"/>
            </w:pPr>
            <w:r>
              <w:rPr>
                <w:rFonts w:ascii="Noto Sans" w:hAnsi="Noto Sans" w:eastAsia="Arial Unicode MS" w:cs="Noto Sans"/>
                <w:sz w:val="17"/>
              </w:rPr>
              <w:t>Apple, App Store, Apple Pay, iPhone, iPad, Mac, ecc.</w:t>
            </w:r>
          </w:p>
        </w:tc>
        <w:tc>
          <w:tcPr>
            <w:tcW w:type="dxa" w:w="4873"/>
            <w:vAlign w:val="center"/>
          </w:tcPr>
          <w:p>
            <w:pPr>
              <w:spacing w:after="40"/>
            </w:pPr>
            <w:r>
              <w:rPr>
                <w:rFonts w:ascii="Noto Sans" w:hAnsi="Noto Sans" w:eastAsia="Arial Unicode MS" w:cs="Noto Sans"/>
                <w:sz w:val="17"/>
              </w:rPr>
              <w:t>I nomi e i loghi referenziati sono di proprietà di Apple Inc. o dei suoi titolari di diritti affiliati. Quando si utilizzano loghi ufficiali come App Store o Apple Pay, è necessario osservare rigorosamente la conformità alle più recenti linee guida su marchio e aspetti legali di Apple.</w:t>
            </w:r>
          </w:p>
        </w:tc>
      </w:tr>
      <w:tr>
        <w:trPr>
          <w:cantSplit/>
        </w:trPr>
        <w:tc>
          <w:tcPr>
            <w:tcW w:type="dxa" w:w="4873"/>
            <w:vAlign w:val="center"/>
          </w:tcPr>
          <w:p>
            <w:pPr>
              <w:spacing w:after="40"/>
            </w:pPr>
            <w:r>
              <w:rPr>
                <w:rFonts w:ascii="Noto Sans" w:hAnsi="Noto Sans" w:eastAsia="Arial Unicode MS" w:cs="Noto Sans"/>
                <w:sz w:val="17"/>
              </w:rPr>
              <w:t>Steam, Logo Steam, Valve</w:t>
            </w:r>
          </w:p>
        </w:tc>
        <w:tc>
          <w:tcPr>
            <w:tcW w:type="dxa" w:w="4873"/>
            <w:vAlign w:val="center"/>
          </w:tcPr>
          <w:p>
            <w:pPr>
              <w:spacing w:after="40"/>
            </w:pPr>
            <w:r>
              <w:rPr>
                <w:rFonts w:ascii="Noto Sans" w:hAnsi="Noto Sans" w:eastAsia="Arial Unicode MS" w:cs="Noto Sans"/>
                <w:sz w:val="17"/>
              </w:rPr>
              <w:t>I nomi e i loghi referenziati sono di proprietà di Valve Corporation o dei suoi titolari di diritti affiliati. Il marchio Steam non deve essere utilizzato per implicare uno sponsor o un supporto da parte di Valve per contenuti non appartenenti a Valve.</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I nomi e i loghi referenziati appartengono ai rispettivi titolari di diritti.</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I nomi e i loghi referenziati appartengono ai rispettivi titolari di diritti.</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Questi sono indicati esclusivamente come potenziali metodi di pagamento o integrazioni di servizi di terze parti; i marchi registrati appartengono ai rispettivi titolari di diritti.</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ecc.</w:t>
            </w:r>
          </w:p>
        </w:tc>
        <w:tc>
          <w:tcPr>
            <w:tcW w:type="dxa" w:w="4873"/>
            <w:vAlign w:val="center"/>
          </w:tcPr>
          <w:p>
            <w:pPr>
              <w:spacing w:after="40"/>
            </w:pPr>
            <w:r>
              <w:rPr>
                <w:rFonts w:ascii="Noto Sans" w:hAnsi="Noto Sans" w:eastAsia="Arial Unicode MS" w:cs="Noto Sans"/>
                <w:sz w:val="17"/>
              </w:rPr>
              <w:t>Questi sono utilizzati esclusivamente per identificare canali della community o social ufficiali o servizi di terze parti; i marchi registrati appartengono ai rispettivi titolari di diritti.</w:t>
            </w:r>
          </w:p>
        </w:tc>
      </w:tr>
    </w:tbl>
    <w:p>
      <w:pPr>
        <w:spacing w:after="40"/>
      </w:pPr>
    </w:p>
    <w:p>
      <w:pPr>
        <w:keepLines w:val="0"/>
      </w:pPr>
      <w:r>
        <w:rPr>
          <w:rFonts w:ascii="Noto Sans" w:hAnsi="Noto Sans" w:eastAsia="Arial Unicode MS" w:cs="Noto Sans"/>
          <w:b w:val="0"/>
        </w:rPr>
        <w:t>L'operatore si impegnerà a utilizzare loghi e asset di marca ufficiali forniti da terzi e a rispettare i requisiti relativi a dimensioni, spaziatura, colore, etichettatura e "nessuna implicazione di approvazione". Le linee guida sui marchi di terzi possono essere aggiornate; il sito web ufficiale seguirà le linee guida ufficiali più recenti emesse dal terzo.</w:t>
      </w:r>
    </w:p>
    <w:p>
      <w:pPr>
        <w:pStyle w:val="Heading1"/>
        <w:keepLines w:val="0"/>
      </w:pPr>
      <w:r>
        <w:rPr>
          <w:rFonts w:ascii="Noto Sans" w:hAnsi="Noto Sans" w:eastAsia="Arial Unicode MS" w:cs="Noto Sans"/>
          <w:b w:val="0"/>
        </w:rPr>
        <w:t>8. Software Open Source e Dichiarazioni sui Componenti di Terze Parti</w:t>
      </w:r>
    </w:p>
    <w:p>
      <w:pPr>
        <w:keepLines w:val="0"/>
      </w:pPr>
      <w:r>
        <w:rPr>
          <w:rFonts w:ascii="Noto Sans" w:hAnsi="Noto Sans" w:eastAsia="Arial Unicode MS" w:cs="Noto Sans"/>
          <w:b w:val="0"/>
        </w:rPr>
        <w:t>Il client di gioco DAWNBLOOM, il server, il sito web ufficiale o gli strumenti di sviluppo correlati possono includere o dipendere da software open source di terze parti, librerie, framework, font, componenti di elaborazione audio/immagine e altre tecnologie. Tali componenti di terzi rimangono soggetti alle rispettive licenze, avvisi di copyright, requisiti di attribuzione e altri termini applicabili.</w:t>
      </w:r>
    </w:p>
    <w:p>
      <w:pPr>
        <w:keepLines w:val="0"/>
      </w:pPr>
      <w:r>
        <w:rPr>
          <w:rFonts w:ascii="Noto Sans" w:hAnsi="Noto Sans" w:eastAsia="Arial Unicode MS" w:cs="Noto Sans"/>
          <w:b w:val="0"/>
        </w:rPr>
        <w:t>Le app, il sito web e il gioco possono utilizzare ciascuno componenti open source. Le avvisazioni seguono i componenti nella versione effettivamente distribuita; tali licenze non conferiscono a DAWNBLOOM diritti su contenuti di terze parti non correlati.</w:t>
      </w:r>
    </w:p>
    <w:p>
      <w:pPr>
        <w:keepLines w:val="0"/>
      </w:pPr>
      <w:r>
        <w:rPr>
          <w:rFonts w:ascii="Noto Sans" w:hAnsi="Noto Sans" w:eastAsia="Arial Unicode MS" w:cs="Noto Sans"/>
          <w:b w:val="0"/>
        </w:rPr>
        <w:t>Al momento del rilascio ufficiale, l'operatore dovrà mantenere una pagina di Avvisi sul Codice Aperto/Divulgazione del Software Open Source o includere un elenco di licenze con la distribuzione del software, adempiendo agli obblighi richiesti da MIT, Apache, BSD, OFL, LGPL/GPL o qualsiasi altra licenza effettivamente utilizzata.</w:t>
      </w:r>
    </w:p>
    <w:p>
      <w:pPr>
        <w:keepLines w:val="0"/>
      </w:pPr>
      <w:r>
        <w:rPr>
          <w:rFonts w:ascii="Noto Sans" w:hAnsi="Noto Sans" w:eastAsia="Arial Unicode MS" w:cs="Noto Sans"/>
          <w:b w:val="0"/>
        </w:rPr>
        <w:t>I progetti open source di terze parti, autori, fondazioni o titolari dei diritti non saranno considerati automaticamente sponsor, partner, certificatori o sostenitori di DAWNBLOOM semplicemente perché la loro tecnologia viene utilizzata.</w:t>
      </w:r>
    </w:p>
    <w:p>
      <w:pPr>
        <w:pStyle w:val="Heading1"/>
        <w:keepLines w:val="0"/>
      </w:pPr>
      <w:r>
        <w:rPr>
          <w:rFonts w:ascii="Noto Sans" w:hAnsi="Noto Sans" w:eastAsia="Arial Unicode MS" w:cs="Noto Sans"/>
          <w:b w:val="0"/>
        </w:rPr>
        <w:t>9. Link Esterni, Servizi di Terze Parti e Accuratezza dei Contenuti</w:t>
      </w:r>
    </w:p>
    <w:p>
      <w:pPr>
        <w:keepLines w:val="0"/>
      </w:pPr>
      <w:r>
        <w:rPr>
          <w:rFonts w:ascii="Noto Sans" w:hAnsi="Noto Sans" w:eastAsia="Arial Unicode MS" w:cs="Noto Sans"/>
          <w:b w:val="0"/>
        </w:rPr>
        <w:t>Il sito web ufficiale può includere link a Steam, l'App Store, piattaforme di social media, servizi di pagamento, piattaforme di assistenza clienti o altri servizi di terze parti. I siti web e i servizi di terze parti sono gestiti indipendentemente dalle rispettive entità, e DAWNBLOOM non può controllarne la disponibilità, i contenuti, le pratiche sulla privacy, le restrizioni regionali, i termini di servizio o le modifiche alle policy.</w:t>
      </w:r>
    </w:p>
    <w:p>
      <w:pPr>
        <w:keepLines w:val="0"/>
      </w:pPr>
      <w:r>
        <w:rPr>
          <w:rFonts w:ascii="Noto Sans" w:hAnsi="Noto Sans" w:eastAsia="Arial Unicode MS" w:cs="Noto Sans"/>
          <w:b w:val="0"/>
        </w:rPr>
        <w:t>Le fonti di notizie, i siti esterni, i provider di posta elettronica e gli store di applicazioni controllano i propri contenuti, account e termini. I link ufficiali al software sono pubblicati su dawnbloom.net o negli store espressamente collegati da esso.</w:t>
      </w:r>
    </w:p>
    <w:p>
      <w:pPr>
        <w:keepLines w:val="0"/>
      </w:pPr>
      <w:r>
        <w:rPr>
          <w:rFonts w:ascii="Noto Sans" w:hAnsi="Noto Sans" w:eastAsia="Arial Unicode MS" w:cs="Noto Sans"/>
          <w:b w:val="0"/>
        </w:rPr>
        <w:t>Il sito ufficiale farà del suo meglio per garantire l'accuratezza di annunci, guide, istruzioni di download, informazioni sulla compatibilità e altri contenuti pubblicamente disponibili, ma il gioco continuerà a essere sviluppato e aggiornato. screenshot, concept art, funzionalità di test, supporto di piattaforma pianificato e contenuti non ancora ufficialmente rilasciati possono essere modificati, posticipati o cancellati in base ai progressi effettivi dello sviluppo. F diversamente richiesto dalla legge o dove una pagina costituisca esplicitamente un impegno di prodotto o servizio, i contenuti visualizzati durante la fase di sviluppo non costituiscono una garanzia irrevocabile per le versioni future.</w:t>
      </w:r>
    </w:p>
    <w:p>
      <w:pPr>
        <w:keepLines w:val="0"/>
      </w:pPr>
      <w:r>
        <w:rPr>
          <w:rFonts w:ascii="Noto Sans" w:hAnsi="Noto Sans" w:eastAsia="Arial Unicode MS" w:cs="Noto Sans"/>
          <w:b w:val="0"/>
        </w:rPr>
        <w:t>Post, commenti, guide e altri contenuti generati dagli utenti (UGC) pubblicati dai giocatori su DAWNBLOOM Community riflettono solo le loro opinioni individuali e non rappresentano necessariamente la posizione ufficiale di DAWNBLOOM.</w:t>
      </w:r>
    </w:p>
    <w:p>
      <w:pPr>
        <w:pStyle w:val="Heading1"/>
        <w:keepLines w:val="0"/>
      </w:pPr>
      <w:r>
        <w:rPr>
          <w:rFonts w:ascii="Noto Sans" w:hAnsi="Noto Sans" w:eastAsia="Arial Unicode MS" w:cs="Noto Sans"/>
          <w:b w:val="0"/>
        </w:rPr>
        <w:t>10. Guida a Dawnbloom e Servizi AI per i Giocatori</w:t>
      </w:r>
    </w:p>
    <w:p>
      <w:pPr>
        <w:keepLines w:val="0"/>
      </w:pPr>
      <w:r>
        <w:rPr>
          <w:rFonts w:ascii="Noto Sans" w:hAnsi="Noto Sans" w:eastAsia="Arial Unicode MS" w:cs="Noto Sans"/>
          <w:b w:val="0"/>
        </w:rPr>
        <w:t>DAWNBLOOM AI è il marchio del sistema di interazione intelligente e dei servizi tecnologici della società; DAWNBLOOM Fairy è il compagno intelligente e la figura di interazione rivolta agli utenti nell’ambito dello stesso sistema di servizi. DAWNBLOOM AI 2.0 indica la versione pubblica di tale sistema di servizi intelligenti e non significa che la società abbia addestrato autonomamente il modello linguistico di grandi dimensioni di base. «DAWNBLOOM Fairy» è l’assistente intelligente di gioco e il punto di accesso ai servizi AI per i giocatori offerto da DAWNBLOOM. Può rispondere a domande su meccaniche di gioco, missioni, classi, creature fantastiche, mappe, eventi e guide accessibili ai giocatori, nonché assistere nella gestione o indirizzare la gestione di questioni relative a sicurezza dell’account, beni di gioco, ordini di ricarica, stati anomali e ticket di assistenza. Il servizio è limitato alle risposte a domande su informazioni pubbliche relative al gioco e ai prodotti, alla comunicazione testuale in linguaggio naturale, all’orientamento verso i servizi per i giocatori e alle funzionalità dell’interfaccia Intelligent UI effettivamente disponibili; il supporto linguistico del sito ufficiale non amplia le lingue del client di gioco né quelle proprie di ciascuno dei sei software. Attualmente non sono disponibili la generazione o modifica di immagini, la creazione di PDF, documenti Word, presentazioni o fogli di calcolo, né l’automazione generica delle attività d’ufficio.</w:t>
      </w:r>
    </w:p>
    <w:p>
      <w:pPr>
        <w:keepLines w:val="0"/>
      </w:pPr>
      <w:r>
        <w:rPr>
          <w:rFonts w:ascii="Noto Sans" w:hAnsi="Noto Sans" w:eastAsia="Arial Unicode MS" w:cs="Noto Sans"/>
          <w:b w:val="0"/>
        </w:rPr>
        <w:t>La guida DAWNBLOOM può assistere i giocatori nella risoluzione di problemi, tra cui:</w:t>
      </w:r>
    </w:p>
    <w:p>
      <w:pPr>
        <w:pStyle w:val="ListBullet"/>
        <w:keepLines w:val="0"/>
      </w:pPr>
      <w:r>
        <w:rPr>
          <w:rFonts w:ascii="Noto Sans" w:hAnsi="Noto Sans" w:eastAsia="Arial Unicode MS" w:cs="Noto Sans"/>
          <w:b w:val="0"/>
        </w:rPr>
        <w:t>Meccaniche di gioco, progressione delle missioni, sviluppo della carriera, allevamento di bestie spettrali, esplorazione della mappa, regole degli eventi e strategie di gioco;</w:t>
      </w:r>
    </w:p>
    <w:p>
      <w:pPr>
        <w:pStyle w:val="ListBullet"/>
        <w:keepLines w:val="0"/>
      </w:pPr>
      <w:r>
        <w:rPr>
          <w:rFonts w:ascii="Noto Sans" w:hAnsi="Noto Sans" w:eastAsia="Arial Unicode MS" w:cs="Noto Sans"/>
          <w:b w:val="0"/>
        </w:rPr>
        <w:t>Anomalie nell'accesso all'account, password dimenticate, verifica tramite e-mail o numero di telefono, rischi per la sicurezza dell'account e sospetto furto di account;</w:t>
      </w:r>
    </w:p>
    <w:p>
      <w:pPr>
        <w:pStyle w:val="ListBullet"/>
        <w:keepLines w:val="0"/>
      </w:pPr>
      <w:r>
        <w:rPr>
          <w:rFonts w:ascii="Noto Sans" w:hAnsi="Noto Sans" w:eastAsia="Arial Unicode MS" w:cs="Noto Sans"/>
          <w:b w:val="0"/>
        </w:rPr>
        <w:t>Perdita, discrepanze quantitative o anomalie di stato di personaggi, oggetti, equipaggiamenti, bestie spettrali, monete d'oro o monete magiche;</w:t>
      </w:r>
    </w:p>
    <w:p>
      <w:pPr>
        <w:pStyle w:val="ListBullet"/>
        <w:keepLines w:val="0"/>
      </w:pPr>
      <w:r>
        <w:rPr>
          <w:rFonts w:ascii="Noto Sans" w:hAnsi="Noto Sans" w:eastAsia="Arial Unicode MS" w:cs="Noto Sans"/>
          <w:b w:val="0"/>
        </w:rPr>
        <w:t>Spese anomale, guadagni anomali, anomalie nelle transazioni, ricompense non ricevute, anomalie nelle ricompense degli eventi o anomalie nei messaggi o nei sistemi di messaggistica;</w:t>
      </w:r>
    </w:p>
    <w:p>
      <w:pPr>
        <w:pStyle w:val="ListBullet"/>
        <w:keepLines w:val="0"/>
      </w:pPr>
      <w:r>
        <w:rPr>
          <w:rFonts w:ascii="Noto Sans" w:hAnsi="Noto Sans" w:eastAsia="Arial Unicode MS" w:cs="Noto Sans"/>
          <w:b w:val="0"/>
        </w:rPr>
        <w:t>Ricariche, ordini, acquisti in negozio, scambi e questioni relative alla consegna o conferma;</w:t>
      </w:r>
    </w:p>
    <w:p>
      <w:pPr>
        <w:pStyle w:val="ListBullet"/>
        <w:keepLines w:val="0"/>
      </w:pPr>
      <w:r>
        <w:rPr>
          <w:rFonts w:ascii="Noto Sans" w:hAnsi="Noto Sans" w:eastAsia="Arial Unicode MS" w:cs="Noto Sans"/>
          <w:b w:val="0"/>
        </w:rPr>
        <w:t>Segnalazioni su bug di gioco, malfunzionamenti, crash, disconnessioni o desincronizzazione dei dati;</w:t>
      </w:r>
    </w:p>
    <w:p>
      <w:pPr>
        <w:pStyle w:val="ListBullet"/>
        <w:keepLines w:val="0"/>
      </w:pPr>
      <w:r>
        <w:rPr>
          <w:rFonts w:ascii="Noto Sans" w:hAnsi="Noto Sans" w:eastAsia="Arial Unicode MS" w:cs="Noto Sans"/>
          <w:b w:val="0"/>
        </w:rPr>
        <w:t>Ricorsi per la perdita di personaggi, oggetti, bestie spettrali e valuta derivante dal furto di account;</w:t>
      </w:r>
    </w:p>
    <w:p>
      <w:pPr>
        <w:pStyle w:val="ListBullet"/>
        <w:keepLines w:val="0"/>
      </w:pPr>
      <w:r>
        <w:rPr>
          <w:rFonts w:ascii="Noto Sans" w:hAnsi="Noto Sans" w:eastAsia="Arial Unicode MS" w:cs="Noto Sans"/>
          <w:b w:val="0"/>
        </w:rPr>
        <w:t>Guida per inquiry e ricorsi relativi a blocchi dell'account, restrizioni o altri stati anomali;</w:t>
      </w:r>
    </w:p>
    <w:p>
      <w:pPr>
        <w:pStyle w:val="ListBullet"/>
        <w:keepLines w:val="0"/>
      </w:pPr>
      <w:r>
        <w:rPr>
          <w:rFonts w:ascii="Noto Sans" w:hAnsi="Noto Sans" w:eastAsia="Arial Unicode MS" w:cs="Noto Sans"/>
          <w:b w:val="0"/>
        </w:rPr>
        <w:t>Altri problemi che richiedono assistenza dal centro di supporto ai giocatori.</w:t>
      </w:r>
    </w:p>
    <w:p>
      <w:pPr>
        <w:keepLines w:val="0"/>
      </w:pPr>
      <w:r>
        <w:rPr>
          <w:rFonts w:ascii="Noto Sans" w:hAnsi="Noto Sans" w:eastAsia="Arial Unicode MS" w:cs="Noto Sans"/>
          <w:b w:val="0"/>
        </w:rPr>
        <w:t>Per le questioni valutabili direttamente sulla base di informazioni pubbliche, DAWNBLOOM Fairy può fornire risposte immediate o indicazioni per la soluzione; per le questioni che richiedono la verifica dei dati del server, quali sicurezza dell’account, registrazioni delle transazioni, beni di gioco, recupero dei dati, perdite dovute a furto e ricorsi contro sanzioni, può assistere nella verifica dell’identità, nell’organizzazione delle informazioni necessarie, nella generazione di procedure di gestione, nell’apertura o nell’inoltro di ticket ufficiali e nelle verifiche sulla base di registrazioni del server, log delle operazioni e altri dati affidabili. Intelligent UI combina le risposte con schede informative interattive, accessi alle funzionalità e schermate di conferma. Le informazioni su creature fantastiche, equipaggiamento, oggetti, registrazioni personali di gioco e sicurezza dell’account sono fornite soltanto se la relativa funzionalità è disponibile, l’interessato ha validamente autorizzato l’accesso e il backend ha confermato l’identità e i relativi permessi, entro i limiti di questi ultimi. La comparsa di una risposta AI, di una scheda o di un pulsante non significa che un’operazione sia stata eseguita; le operazioni sensibili richiedono la verifica formale e le conferme necessarie e fanno fede i risultati del sistema. È vietato aggirare il sistema dei permessi per modificare i dati dei giocatori o leggere informazioni non pubbliche di altre persone.</w:t>
      </w:r>
    </w:p>
    <w:p>
      <w:pPr>
        <w:keepLines w:val="0"/>
      </w:pPr>
      <w:r>
        <w:rPr>
          <w:rFonts w:ascii="Noto Sans" w:hAnsi="Noto Sans" w:eastAsia="Arial Unicode MS" w:cs="Noto Sans"/>
          <w:b w:val="0"/>
        </w:rPr>
        <w:t>La guida DAWNBLOOM non modificherà direttamente gli asset di gioco o i dati di backend esclusivamente su richiesta del giocatore. Le questioni relative al ripristino di oggetti, al ripristino di bestie spettrali, a monete d'oro o magiche anomale, alle perdite per furti, alle dispute sulle transazioni, all'emissione di ricompense o alle penalità dell'account devono essere gestite sulla base di registri effettivi, autorizzazioni basate sulle regole e procedure di revisione necessarie. Per proteggere la sicurezza dell'account, la guida DAWNBLOOM non richiederà mai agli utenti di fornire password dell'account o codici di verifica unici completi. Per le operazioni ad alto rischio sull'account, saranno comunque richiesti meccanismi ufficiali di verifica dell'identità per la conferma.</w:t>
      </w:r>
    </w:p>
    <w:p>
      <w:pPr>
        <w:keepLines w:val="0"/>
      </w:pPr>
      <w:r>
        <w:rPr>
          <w:rFonts w:ascii="Noto Sans" w:hAnsi="Noto Sans" w:eastAsia="Arial Unicode MS" w:cs="Noto Sans"/>
          <w:b w:val="0"/>
        </w:rPr>
        <w:t>DAWNBLOOM non rivelerà ai giocatori campi backend, formule di calcolo interne, probabilità non annunciate, moltiplicatori interni, strategie di sicurezza, metodi di sfruttamento delle vulnerabilità, documenti di pianificazione non pubblicati, informazioni amministrative o qualsiasi altro dato non pubblico. Il sistema di IA può presentare errori di comprensione, ritardo informativo o espressione incompleta; se una risposta di Dawnbloom Guide è in conflitto con gli annunci ufficiali, le pagine prodotto, Informativa sulla privacy, Regole del giocatore e politica di applicazione, Termini di vendita e rimborso, i dati ufficialmente verificati o i risultati revisionati manualmente avranno la precedenza.</w:t>
      </w:r>
    </w:p>
    <w:p>
      <w:pPr>
        <w:keepLines w:val="0"/>
      </w:pPr>
      <w:r>
        <w:rPr>
          <w:rFonts w:ascii="Noto Sans" w:hAnsi="Noto Sans" w:eastAsia="Arial Unicode MS" w:cs="Noto Sans"/>
          <w:b w:val="0"/>
        </w:rPr>
        <w:t>L’integrazione tecnica utilizza le capacità di Qwen fornite da Alibaba Cloud Model Studio; la connessione al modello utilizza endpoint della regione di Tokyo, in Giappone. La regione in cui si trova l’endpoint non significa che tutti i dati degli utenti siano trattati esclusivamente in Giappone e non sostituisce la verifica degli accordi di servizio effettivi, dei log del fornitore, dei controlli sull’addestramento, delle impostazioni di conservazione e degli obblighi relativi ai trasferimenti transfrontalieri. OpenAI Codex partecipa alla costruzione della base di conoscenze, allo sviluppo delle funzionalità, alla progettazione delle interazioni e al miglioramento continuo; ciò non gli conferisce automaticamente accesso ai dati delle chat degli utenti né significa che abbia addestrato il modello di base Qwen.</w:t>
      </w:r>
    </w:p>
    <w:p>
      <w:pPr>
        <w:pStyle w:val="Heading1"/>
        <w:keepLines w:val="0"/>
      </w:pPr>
      <w:r>
        <w:rPr>
          <w:rFonts w:ascii="Noto Sans" w:hAnsi="Noto Sans" w:eastAsia="Arial Unicode MS" w:cs="Noto Sans"/>
          <w:b w:val="0"/>
        </w:rPr>
        <w:t>11. Vulnerabilità di Sicurezza, Avvisi Legali e Richieste delle Forze dell'Ordine</w:t>
      </w:r>
    </w:p>
    <w:p>
      <w:pPr>
        <w:keepLines w:val="0"/>
      </w:pPr>
      <w:r>
        <w:rPr>
          <w:rFonts w:ascii="Noto Sans" w:hAnsi="Noto Sans" w:eastAsia="Arial Unicode MS" w:cs="Noto Sans"/>
          <w:b w:val="0"/>
        </w:rPr>
        <w:t xml:space="preserve">Se scopri vulnerabilità nel sito ufficiale, nel sistema di account, in DAWNBLOOM Community, nell'assistenza clienti AI o nei servizi di gioco che potrebbero mettere a rischio gli account dei giocatori, i dati o la sicurezza del servizio, ti consigliamo di segnalarle responsabilmente tramite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o il supporto clienti ufficiale. Non divulgare pubblicamente dettagli sulle exploit, metodi per copiare oggetti, script di attacco, credenziali di accesso, informazioni personali di altri o dati backend interni che potrebbero essere immediatamente abusati.</w:t>
      </w:r>
    </w:p>
    <w:p>
      <w:pPr>
        <w:keepLines w:val="0"/>
      </w:pPr>
      <w:r>
        <w:rPr>
          <w:rFonts w:ascii="Noto Sans" w:hAnsi="Noto Sans" w:eastAsia="Arial Unicode MS" w:cs="Noto Sans"/>
          <w:b w:val="0"/>
        </w:rPr>
        <w:t>Le richieste di conservazione, divulgazione, cancellazione, blocco o assistenza presentate da tribunali, autorità di regolamentazione, forze dell'ordine o altre entità legalmente autorizzate saranno esaminate ed elaborate in base alle leggi applicabili, all'autorità della richiesta, all'autenticità e alla necessità. I limiti per la divulgazione e la conservazione delle informazioni personali sono specificati nell'Informativa sulla privacy.</w:t>
      </w:r>
    </w:p>
    <w:p>
      <w:pPr>
        <w:pStyle w:val="Heading1"/>
        <w:keepLines w:val="0"/>
      </w:pPr>
      <w:r>
        <w:rPr>
          <w:rFonts w:ascii="Noto Sans" w:hAnsi="Noto Sans" w:eastAsia="Arial Unicode MS" w:cs="Noto Sans"/>
          <w:b w:val="0"/>
        </w:rPr>
        <w:t>12. Indice delle Informazioni Legali Regionali</w:t>
      </w:r>
    </w:p>
    <w:p>
      <w:pPr>
        <w:keepLines w:val="0"/>
      </w:pPr>
      <w:r>
        <w:rPr>
          <w:rFonts w:ascii="Noto Sans" w:hAnsi="Noto Sans" w:eastAsia="Arial Unicode MS" w:cs="Noto Sans"/>
          <w:b w:val="0"/>
        </w:rPr>
        <w:t>Questa pagina funge da punto di ingresso generale per le informazioni legali e non sostituisce le divulgazioni statutarie obbligatorie richieste dalle giurisdizioni applicabili. In caso di cambiamenti riguardanti l'entità operativa, la posizione del server, il metodo di elaborazione dei pagamenti, le informazioni sul venditore, il modello UGC del forum o le politiche dello store di app, le pagine legali corrispondenti verranno aggiornate di conseguenza.</w:t>
      </w:r>
    </w:p>
    <w:p>
      <w:pPr>
        <w:pStyle w:val="Heading1"/>
        <w:keepLines w:val="0"/>
      </w:pPr>
      <w:r>
        <w:rPr>
          <w:rFonts w:ascii="Noto Sans" w:hAnsi="Noto Sans" w:eastAsia="Arial Unicode MS" w:cs="Noto Sans"/>
          <w:b w:val="0"/>
        </w:rPr>
        <w:t>13. Contattaci</w:t>
      </w:r>
    </w:p>
    <w:p>
      <w:pPr>
        <w:keepLines w:val="0"/>
      </w:pPr>
      <w:r>
        <w:rPr>
          <w:rFonts w:ascii="Noto Sans" w:hAnsi="Noto Sans" w:eastAsia="Arial Unicode MS" w:cs="Noto Sans"/>
          <w:b w:val="0"/>
        </w:rPr>
        <w:t xml:space="preserve">Supporto generale per i giocatori: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Richieste legali, di copyright e sulla privacy: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Vulnerabilità e incidenti di sicurezza: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Media e cooperazione commerciale: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I domini ufficiali e le voci regionali sono identificati nella sezione 1; i domini di protezione del marchio esistenti sono elencati nell'attuale Avviso dei Canali Ufficiali e Antinganno. L'account DAWNBLOOM e DAWNBLOOM Community rimangono parte dello stesso servizio, e gli indirizzi e-mail ufficiali utilizzano @dawnbloom.net.</w:t>
      </w:r>
    </w:p>
    <w:p>
      <w:pPr>
        <w:keepLines w:val="0"/>
      </w:pPr>
      <w:r>
        <w:rPr>
          <w:rFonts w:ascii="Noto Sans" w:hAnsi="Noto Sans" w:eastAsia="Arial Unicode MS" w:cs="Noto Sans"/>
          <w:b w:val="0"/>
        </w:rPr>
        <w:t>Operatore / fornitore di servizi web: Shanghai Zhuiguang Zhichuang Cultural Media Co., Ltd. (nome pubblico inglese: SHANGHAI LUMIREALM CREATIVE MEDIA CO., LTD.)</w:t>
      </w:r>
    </w:p>
    <w:p>
      <w:pPr>
        <w:keepLines w:val="0"/>
      </w:pPr>
      <w:r>
        <w:rPr>
          <w:rFonts w:ascii="Noto Sans" w:hAnsi="Noto Sans" w:eastAsia="Arial Unicode MS" w:cs="Noto Sans"/>
          <w:b w:val="0"/>
        </w:rPr>
        <w:t>Indirizzo operativo / Indirizzo ufficiale di contatto: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Informazioni Legali e Avvisi di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