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Condizioni d’uso di DAWNBLOOM AI</w:t>
      </w:r>
    </w:p>
    <w:p>
      <w:pPr>
        <w:keepLines w:val="0"/>
      </w:pPr>
      <w:r>
        <w:rPr>
          <w:rFonts w:ascii="Noto Sans" w:hAnsi="Noto Sans" w:eastAsia="Noto Sans TC" w:cs="Noto Sans"/>
          <w:b w:val="0"/>
        </w:rPr>
        <w:t>Versione: V8</w:t>
      </w:r>
    </w:p>
    <w:p>
      <w:pPr>
        <w:keepLines w:val="0"/>
      </w:pPr>
      <w:r>
        <w:rPr>
          <w:rFonts w:ascii="Noto Sans" w:hAnsi="Noto Sans" w:eastAsia="Noto Sans TC" w:cs="Noto Sans"/>
          <w:b w:val="0"/>
        </w:rPr>
        <w:t>Data di revisione: 10 ottobre 2026</w:t>
      </w:r>
    </w:p>
    <w:p>
      <w:pPr>
        <w:keepLines w:val="0"/>
      </w:pPr>
      <w:r>
        <w:rPr>
          <w:rFonts w:ascii="Noto Sans" w:hAnsi="Noto Sans" w:eastAsia="Noto Sans TC" w:cs="Noto Sans"/>
          <w:b w:val="0"/>
        </w:rPr>
        <w:t>Data di entrata in vigore: 10 ottobre 2026</w:t>
      </w:r>
    </w:p>
    <w:p>
      <w:pPr>
        <w:keepLines w:val="0"/>
      </w:pPr>
      <w:r>
        <w:rPr>
          <w:rFonts w:ascii="Noto Sans" w:hAnsi="Noto Sans" w:eastAsia="Noto Sans TC" w:cs="Noto Sans"/>
          <w:b w:val="0"/>
        </w:rPr>
        <w:t>Soggetto fornitore: 上海追光智创文化传媒有限公司</w:t>
      </w:r>
    </w:p>
    <w:p>
      <w:pPr>
        <w:pStyle w:val="Heading1"/>
        <w:keepLines w:val="0"/>
      </w:pPr>
      <w:r>
        <w:rPr>
          <w:rFonts w:ascii="Noto Sans" w:hAnsi="Noto Sans" w:eastAsia="Noto Sans TC" w:cs="Noto Sans"/>
          <w:b w:val="0"/>
        </w:rPr>
        <w:t>1. Soggetto fornitore, denominazioni e ambito di applicazione</w:t>
      </w:r>
    </w:p>
    <w:p>
      <w:pPr>
        <w:keepLines w:val="0"/>
      </w:pPr>
      <w:r>
        <w:rPr>
          <w:rFonts w:ascii="Noto Sans" w:hAnsi="Noto Sans" w:eastAsia="Noto Sans TC" w:cs="Noto Sans"/>
          <w:b w:val="0"/>
        </w:rPr>
        <w:t>上海追光智创文化传媒有限公司 fornisce il presente servizio. DAWNBLOOM AI è il marchio del sistema di interazione intelligente e dei servizi tecnologici della società; DAWNBLOOM Fairy è il compagno intelligente e la figura di interazione rivolta agli utenti nell’ambito dello stesso sistema di servizi. DAWNBLOOM AI 2.0 indica la versione pubblica di tale sistema di servizi intelligenti e non significa che la società abbia addestrato autonomamente il modello linguistico di grandi dimensioni di base. Le presenti condizioni si applicano congiuntamente alle Condizioni di servizio DAWNBLOOM, all’Informativa sulla privacy, al Codice dei giocatori e alle altre politiche applicabili; disciplinano esclusivamente gli aspetti specifici dei servizi intelligenti e non riducono i diritti previsti dalla legge.</w:t>
      </w:r>
    </w:p>
    <w:p>
      <w:pPr>
        <w:pStyle w:val="Heading1"/>
        <w:keepLines w:val="0"/>
      </w:pPr>
      <w:r>
        <w:rPr>
          <w:rFonts w:ascii="Noto Sans" w:hAnsi="Noto Sans" w:eastAsia="Noto Sans TC" w:cs="Noto Sans"/>
          <w:b w:val="0"/>
        </w:rPr>
        <w:t>2. Contenuti del servizio e limiti linguistici</w:t>
      </w:r>
    </w:p>
    <w:p>
      <w:pPr>
        <w:keepLines w:val="0"/>
      </w:pPr>
      <w:r>
        <w:rPr>
          <w:rFonts w:ascii="Noto Sans" w:hAnsi="Noto Sans" w:eastAsia="Noto Sans TC" w:cs="Noto Sans"/>
          <w:b w:val="0"/>
        </w:rPr>
        <w:t>Il servizio è limitato alle risposte a domande su informazioni pubbliche relative al gioco e ai prodotti, alla comunicazione testuale in linguaggio naturale, all’orientamento verso i servizi per i giocatori e alle funzionalità dell’interfaccia Intelligent UI effettivamente disponibili; il supporto linguistico del sito ufficiale non amplia le lingue del client di gioco né quelle proprie di ciascuno dei sei software. Attualmente non sono disponibili la generazione o modifica di immagini, la creazione di PDF, documenti Word, presentazioni o fogli di calcolo, né l’automazione generica delle attività d’ufficio. La versione del sito ufficiale rientra nel sistema delle 20 lingue del sito; all’interno del gioco restano disponibili soltanto cinese, inglese, giapponese e coreano. Il supporto di una lingua non implica la disponibilità di assistenza umana o di consulenza legale professionale in tale lingua.</w:t>
      </w:r>
    </w:p>
    <w:p>
      <w:pPr>
        <w:pStyle w:val="Heading1"/>
        <w:keepLines w:val="0"/>
      </w:pPr>
      <w:r>
        <w:rPr>
          <w:rFonts w:ascii="Noto Sans" w:hAnsi="Noto Sans" w:eastAsia="Noto Sans TC" w:cs="Noto Sans"/>
          <w:b w:val="0"/>
        </w:rPr>
        <w:t>3. Informazioni pubbliche e informazioni protette</w:t>
      </w:r>
    </w:p>
    <w:p>
      <w:pPr>
        <w:keepLines w:val="0"/>
      </w:pPr>
      <w:r>
        <w:rPr>
          <w:rFonts w:ascii="Noto Sans" w:hAnsi="Noto Sans" w:eastAsia="Noto Sans TC" w:cs="Noto Sans"/>
          <w:b w:val="0"/>
        </w:rPr>
        <w:t>Le risposte sono limitate ai materiali sul gioco, sui prodotti e sull’assistenza la cui divulgazione pubblica è stata autorizzata. Trame, missioni, mappe, probabilità, formule, documenti di progettazione interna, informazioni GM, misure di sicurezza e materiali per lo sfruttamento di vulnerabilità non pubblicati non sono accessibili agli utenti. È vietato utilizzare le domande e risposte per estrarre materiali protetti.</w:t>
      </w:r>
    </w:p>
    <w:p>
      <w:pPr>
        <w:pStyle w:val="Heading1"/>
        <w:keepLines w:val="0"/>
      </w:pPr>
      <w:r>
        <w:rPr>
          <w:rFonts w:ascii="Noto Sans" w:hAnsi="Noto Sans" w:eastAsia="Noto Sans TC" w:cs="Noto Sans"/>
          <w:b w:val="0"/>
        </w:rPr>
        <w:t>4. Intelligent UI e conferma dell’utente</w:t>
      </w:r>
    </w:p>
    <w:p>
      <w:pPr>
        <w:keepLines w:val="0"/>
      </w:pPr>
      <w:r>
        <w:rPr>
          <w:rFonts w:ascii="Noto Sans" w:hAnsi="Noto Sans" w:eastAsia="Noto Sans TC" w:cs="Noto Sans"/>
          <w:b w:val="0"/>
        </w:rPr>
        <w:t>Intelligent UI combina le risposte con schede informative interattive, accessi alle funzionalità e schermate di conferma. Le informazioni su creature fantastiche, equipaggiamento, oggetti, registrazioni personali di gioco e sicurezza dell’account sono fornite soltanto se la relativa funzionalità è disponibile, l’interessato ha validamente autorizzato l’accesso e il backend ha confermato l’identità e i relativi permessi, entro i limiti di questi ultimi. La comparsa di una risposta AI, di una scheda o di un pulsante non significa che un’operazione sia stata eseguita; le operazioni sensibili richiedono la verifica formale e le conferme necessarie e fanno fede i risultati del sistema. È vietato aggirare il sistema dei permessi per modificare i dati dei giocatori o leggere informazioni non pubbliche di altre persone. I dati dimostrativi chiaramente contrassegnati non sono registrazioni dell’utente e non provano che una consultazione o un’operazione reale sia riuscita.</w:t>
      </w:r>
    </w:p>
    <w:p>
      <w:pPr>
        <w:pStyle w:val="Heading1"/>
        <w:keepLines w:val="0"/>
      </w:pPr>
      <w:r>
        <w:rPr>
          <w:rFonts w:ascii="Noto Sans" w:hAnsi="Noto Sans" w:eastAsia="Noto Sans TC" w:cs="Noto Sans"/>
          <w:b w:val="0"/>
        </w:rPr>
        <w:t>5. Accuratezza delle risposte e verifica delle informazioni importanti</w:t>
      </w:r>
    </w:p>
    <w:p>
      <w:pPr>
        <w:keepLines w:val="0"/>
      </w:pPr>
      <w:r>
        <w:rPr>
          <w:rFonts w:ascii="Noto Sans" w:hAnsi="Noto Sans" w:eastAsia="Noto Sans TC" w:cs="Noto Sans"/>
          <w:b w:val="0"/>
        </w:rPr>
        <w:t xml:space="preserve">Le risposte AI possono contenere errori di comprensione, omissioni o informazioni non aggiornate e non sostituiscono gli annunci ufficiali, le regole del gioco, le condizioni relative ai prodotti e ai rimborsi, le registrazioni verificate con la necessaria autorizzazione o gli esiti di una revisione umana. Gli utenti devono verificare autonomamente le informazioni importanti e possono segnalare errori o presentare ricorsi tramite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i suggerimenti AI non modificano di per sé i diritti esistenti degli utenti né i rimedi previsti dalla legge. L’AI non formula valutazioni definitive in materia legale, medica, finanziaria o in altri ambiti professionali.</w:t>
      </w:r>
    </w:p>
    <w:p>
      <w:pPr>
        <w:pStyle w:val="Heading1"/>
        <w:keepLines w:val="0"/>
      </w:pPr>
      <w:r>
        <w:rPr>
          <w:rFonts w:ascii="Noto Sans" w:hAnsi="Noto Sans" w:eastAsia="Noto Sans TC" w:cs="Noto Sans"/>
          <w:b w:val="0"/>
        </w:rPr>
        <w:t>6. Diritti e responsabilità relativi a input e output</w:t>
      </w:r>
    </w:p>
    <w:p>
      <w:pPr>
        <w:keepLines w:val="0"/>
      </w:pPr>
      <w:r>
        <w:rPr>
          <w:rFonts w:ascii="Noto Sans" w:hAnsi="Noto Sans" w:eastAsia="Noto Sans TC" w:cs="Noto Sans"/>
          <w:b w:val="0"/>
        </w:rPr>
        <w:t>L’utente deve avere il diritto di fornire i contenuti immessi e non deve inviare informazioni illecite o lesive dei diritti altrui. L’utente è responsabile della liceità dell’utilizzo e della diffusione degli output, nonché delle verifiche necessarie. La generazione di risposte non comporta la concessione, da parte della società, di diritti su opere, marchi o dati personali di terzi; le presenti condizioni non escludono i diritti dell’utente sugli output riconosciuti dalla legge né altri diritti previsti dalla legge.</w:t>
      </w:r>
    </w:p>
    <w:p>
      <w:pPr>
        <w:pStyle w:val="Heading1"/>
        <w:keepLines w:val="0"/>
      </w:pPr>
      <w:r>
        <w:rPr>
          <w:rFonts w:ascii="Noto Sans" w:hAnsi="Noto Sans" w:eastAsia="Noto Sans TC" w:cs="Noto Sans"/>
          <w:b w:val="0"/>
        </w:rPr>
        <w:t>7. Uso sicuro e divieto di abuso</w:t>
      </w:r>
    </w:p>
    <w:p>
      <w:pPr>
        <w:keepLines w:val="0"/>
      </w:pPr>
      <w:r>
        <w:rPr>
          <w:rFonts w:ascii="Noto Sans" w:hAnsi="Noto Sans" w:eastAsia="Noto Sans TC" w:cs="Noto Sans"/>
          <w:b w:val="0"/>
        </w:rPr>
        <w:t>È vietato attaccare il servizio, effettuare richieste massive abusive, usurpare identità, aggirare codici di verifica o permessi, inviare istruzioni malevole, sottrarre contenuti non pubblici o creare false promesse ufficiali. Non fornire password, codici di verifica monouso completi, password di pagamento, token o altre informazioni sensibili non necessarie.</w:t>
      </w:r>
    </w:p>
    <w:p>
      <w:pPr>
        <w:pStyle w:val="Heading1"/>
        <w:keepLines w:val="0"/>
      </w:pPr>
      <w:r>
        <w:rPr>
          <w:rFonts w:ascii="Noto Sans" w:hAnsi="Noto Sans" w:eastAsia="Noto Sans TC" w:cs="Noto Sans"/>
          <w:b w:val="0"/>
        </w:rPr>
        <w:t>8. Dati dell’account e operazioni di gioco</w:t>
      </w:r>
    </w:p>
    <w:p>
      <w:pPr>
        <w:keepLines w:val="0"/>
      </w:pPr>
      <w:r>
        <w:rPr>
          <w:rFonts w:ascii="Noto Sans" w:hAnsi="Noto Sans" w:eastAsia="Noto Sans TC" w:cs="Noto Sans"/>
          <w:b w:val="0"/>
        </w:rPr>
        <w:t>Le creature fantastiche, l’equipaggiamento, gli oggetti, i beni e le registrazioni personali possono essere consultati soltanto entro i limiti della valida autorizzazione dell’interessato e della verifica del backend. L’AI non acquisisce permessi GM e non modifica direttamente beni, sanzioni o meccaniche ufficiali di gioco; ripristini, controversie e ricorsi sono verificati attraverso le procedure formali.</w:t>
      </w:r>
    </w:p>
    <w:p>
      <w:pPr>
        <w:pStyle w:val="Heading1"/>
        <w:keepLines w:val="0"/>
      </w:pPr>
      <w:r>
        <w:rPr>
          <w:rFonts w:ascii="Noto Sans" w:hAnsi="Noto Sans" w:eastAsia="Noto Sans TC" w:cs="Noto Sans"/>
          <w:b w:val="0"/>
        </w:rPr>
        <w:t>9. Minori</w:t>
      </w:r>
    </w:p>
    <w:p>
      <w:pPr>
        <w:keepLines w:val="0"/>
      </w:pPr>
      <w:r>
        <w:rPr>
          <w:rFonts w:ascii="Noto Sans" w:hAnsi="Noto Sans" w:eastAsia="Noto Sans TC" w:cs="Noto Sans"/>
          <w:b w:val="0"/>
        </w:rPr>
        <w:t>Per gli account e i servizi di gioco resta valido il requisito esistente del compimento dei 18 anni, che non viene attenuato dal servizio AI. L’accesso a informazioni pubbliche non equivale all’autorizzazione a registrare o utilizzare un account di gioco. Quando sono coinvolte informazioni relative a minori, si rispettano i requisiti di protezione applicabili; la conversazione con l’AI non sostituisce il consenso o la verifica del tutore richiesti dalla legge.</w:t>
      </w:r>
    </w:p>
    <w:p>
      <w:pPr>
        <w:pStyle w:val="Heading1"/>
        <w:keepLines w:val="0"/>
      </w:pPr>
      <w:r>
        <w:rPr>
          <w:rFonts w:ascii="Noto Sans" w:hAnsi="Noto Sans" w:eastAsia="Noto Sans TC" w:cs="Noto Sans"/>
          <w:b w:val="0"/>
        </w:rPr>
        <w:t>10. Modelli di terzi e trattamento dei dati</w:t>
      </w:r>
    </w:p>
    <w:p>
      <w:pPr>
        <w:keepLines w:val="0"/>
      </w:pPr>
      <w:r>
        <w:rPr>
          <w:rFonts w:ascii="Noto Sans" w:hAnsi="Noto Sans" w:eastAsia="Noto Sans TC" w:cs="Noto Sans"/>
          <w:b w:val="0"/>
        </w:rPr>
        <w:t>L’integrazione tecnica utilizza le capacità di Qwen fornite da Alibaba Cloud Model Studio; la connessione al modello utilizza endpoint della regione di Tokyo, in Giappone. La regione in cui si trova l’endpoint non significa che tutti i dati degli utenti siano trattati esclusivamente in Giappone e non sostituisce la verifica degli accordi di servizio effettivi, dei log del fornitore, dei controlli sull’addestramento, delle impostazioni di conservazione e degli obblighi relativi ai trasferimenti transfrontalieri. OpenAI Codex partecipa alla costruzione della base di conoscenze, allo sviluppo delle funzionalità, alla progettazione delle interazioni e al miglioramento continuo; ciò non gli conferisce automaticamente accesso ai dati delle chat degli utenti né significa che abbia addestrato il modello di base Qwen. Gli specifici input, il contesto, i log di servizio, la conservazione e i controlli sull’addestramento sono disciplinati dall’Informativa sulla privacy DAWNBLOOM vigente, dalle specifiche informative applicabili e dagli accordi di servizio effettivi. L’informativa sulla privacy specifica per l’AI è ancora in fase di verifica; le presenti condizioni non sostituiscono l’accertamento dei fatti relativi al trattamento dei dati. I relativi modelli o trattamenti di dati personali non saranno resi disponibili prima del completamento delle informative, delle autorizzazioni e delle verifiche di sicurezza necessarie.</w:t>
      </w:r>
    </w:p>
    <w:p>
      <w:pPr>
        <w:pStyle w:val="Heading1"/>
        <w:keepLines w:val="0"/>
      </w:pPr>
      <w:r>
        <w:rPr>
          <w:rFonts w:ascii="Noto Sans" w:hAnsi="Noto Sans" w:eastAsia="Noto Sans TC" w:cs="Noto Sans"/>
          <w:b w:val="0"/>
        </w:rPr>
        <w:t>11. Disponibilità, anomalie e modifiche del servizio</w:t>
      </w:r>
    </w:p>
    <w:p>
      <w:pPr>
        <w:keepLines w:val="0"/>
      </w:pPr>
      <w:r>
        <w:rPr>
          <w:rFonts w:ascii="Noto Sans" w:hAnsi="Noto Sans" w:eastAsia="Noto Sans TC" w:cs="Noto Sans"/>
          <w:b w:val="0"/>
        </w:rPr>
        <w:t>Le funzionalità effettive dipendono dagli accessi resi disponibili e dallo stato ufficiale del servizio. Manutenzione, guasti, incidenti di sicurezza, limiti di capacità o anomalie dei fornitori possono limitare parte dei servizi; interveniamo nella misura necessaria e comunichiamo i cambiamenti rilevanti attraverso canali appropriati. L’interruzione delle richieste al modello non equivale alla cancellazione dell’account; i diritti derivanti da acquisti già effettuati e i rimedi previsti dalla legge non decadono automaticamente a causa di limitazioni delle funzionalità AI.</w:t>
      </w:r>
    </w:p>
    <w:p>
      <w:pPr>
        <w:pStyle w:val="Heading1"/>
        <w:keepLines w:val="0"/>
      </w:pPr>
      <w:r>
        <w:rPr>
          <w:rFonts w:ascii="Noto Sans" w:hAnsi="Noto Sans" w:eastAsia="Noto Sans TC" w:cs="Noto Sans"/>
          <w:b w:val="0"/>
        </w:rPr>
        <w:t>12. Gestione delle violazioni, ricorsi e correzioni</w:t>
      </w:r>
    </w:p>
    <w:p>
      <w:pPr>
        <w:keepLines w:val="0"/>
      </w:pPr>
      <w:r>
        <w:rPr>
          <w:rFonts w:ascii="Noto Sans" w:hAnsi="Noto Sans" w:eastAsia="Noto Sans TC" w:cs="Noto Sans"/>
          <w:b w:val="0"/>
        </w:rPr>
        <w:t>In base al rischio effettivo, possono essere applicati limiti alle richieste, sospensioni delle funzionalità intelligenti interessate o misure previste dal Codice dei giocatori, con disponibilità di un canale formale di ricorso. Gli utenti possono richiedere una correzione fornendo la risposta specifica, l’ora della domanda e i materiali necessari alla verifica; oscurare le informazioni personali non pertinenti. Una risposta AI non costituisce di per sé una decisione sanzionatoria.</w:t>
      </w:r>
    </w:p>
    <w:p>
      <w:pPr>
        <w:pStyle w:val="Heading1"/>
        <w:keepLines w:val="0"/>
      </w:pPr>
      <w:r>
        <w:rPr>
          <w:rFonts w:ascii="Noto Sans" w:hAnsi="Noto Sans" w:eastAsia="Noto Sans TC" w:cs="Noto Sans"/>
          <w:b w:val="0"/>
        </w:rPr>
        <w:t>13. Cessazione dell’utilizzo e diritti sui dati</w:t>
      </w:r>
    </w:p>
    <w:p>
      <w:pPr>
        <w:keepLines w:val="0"/>
      </w:pPr>
      <w:r>
        <w:rPr>
          <w:rFonts w:ascii="Noto Sans" w:hAnsi="Noto Sans" w:eastAsia="Noto Sans TC" w:cs="Noto Sans"/>
          <w:b w:val="0"/>
        </w:rPr>
        <w:t xml:space="preserve">L’utente può interrompere la chat, revocare il consenso ove la legge ne consenta la revoca, cancellare la cronologia locale delle chat e presentare richieste di accesso, rettifica, cancellazione, limitazione del trattamento e reclami tramite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 l’assistenza ufficiale. La cancellazione della cronologia locale non elimina automaticamente i log di servizio, i ticket o le registrazioni di terzi conservati ai sensi di legge; il trattamento successivo avviene in base alle effettive categorie di dati, agli obblighi di legge e alle esigenze di sicurezza e delle controversie pendenti, senza pregiudicare i diritti esistenti. La cessazione dell’utilizzo non rende inefficaci reclami, richieste di rimborso, richieste in materia di privacy o rimedi legali già esistenti.</w:t>
      </w:r>
    </w:p>
    <w:p>
      <w:pPr>
        <w:pStyle w:val="Heading1"/>
        <w:keepLines w:val="0"/>
      </w:pPr>
      <w:r>
        <w:rPr>
          <w:rFonts w:ascii="Noto Sans" w:hAnsi="Noto Sans" w:eastAsia="Noto Sans TC" w:cs="Noto Sans"/>
          <w:b w:val="0"/>
        </w:rPr>
        <w:t>14. Aggiornamenti, reclami e contatti</w:t>
      </w:r>
    </w:p>
    <w:p>
      <w:pPr>
        <w:keepLines w:val="0"/>
      </w:pPr>
      <w:r>
        <w:rPr>
          <w:rFonts w:ascii="Noto Sans" w:hAnsi="Noto Sans" w:eastAsia="Noto Sans TC" w:cs="Noto Sans"/>
          <w:b w:val="0"/>
        </w:rPr>
        <w:t xml:space="preserve">Le modifiche rilevanti delle condizioni o del trattamento sono comunicate secondo la legge applicabile e sottoposte alle procedure necessarie, senza ridurre retroattivamente i diritti legali già acquisiti. Questioni legali e diritti sui dati: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assistenza e correzioni: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incidenti di sicurezza: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L’indirizzo legale di contatto resta quello indicato nelle informazioni legali ufficiali.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Condizioni d’uso di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