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Saluran Resmi DAWNBLOOM &amp; Pemberitahuan Anti-Penipuan</w:t>
      </w:r>
    </w:p>
    <w:p>
      <w:pPr>
        <w:keepLines w:val="0"/>
      </w:pPr>
      <w:r>
        <w:rPr>
          <w:rFonts w:ascii="Noto Sans" w:hAnsi="Noto Sans" w:eastAsia="Arial Unicode MS" w:cs="Noto Sans"/>
          <w:b w:val="0"/>
        </w:rPr>
        <w:t>Versi Resmi</w:t>
      </w:r>
    </w:p>
    <w:p>
      <w:pPr>
        <w:keepLines w:val="0"/>
      </w:pPr>
      <w:r>
        <w:rPr>
          <w:rFonts w:ascii="Noto Sans" w:hAnsi="Noto Sans" w:eastAsia="Arial Unicode MS" w:cs="Noto Sans"/>
          <w:b w:val="0"/>
        </w:rPr>
        <w:t>SALURAN RESMI &amp; PEMBERITAHUAN ANTI-PENIPUAN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Harap verifikasi situs resmi hanya di</w:t>
              <w:br/>
              <w:t>https://dawnbloom.net</w:t>
            </w:r>
          </w:p>
        </w:tc>
      </w:tr>
    </w:tbl>
    <w:p>
      <w:pPr>
        <w:spacing w:after="40"/>
      </w:pPr>
    </w:p>
    <w:p>
      <w:pPr>
        <w:keepLines w:val="0"/>
      </w:pPr>
      <w:r>
        <w:rPr>
          <w:rFonts w:ascii="Noto Sans" w:hAnsi="Noto Sans" w:eastAsia="Arial Unicode MS" w:cs="Noto Sans"/>
          <w:b w:val="0"/>
        </w:rPr>
        <w:t>V8 · 10 Oktober 2026</w:t>
      </w:r>
    </w:p>
    <w:p>
      <w:pPr>
        <w:keepLines w:val="0"/>
      </w:pPr>
      <w:r>
        <w:rPr>
          <w:rFonts w:ascii="Noto Sans" w:hAnsi="Noto Sans" w:eastAsia="Arial Unicode MS" w:cs="Noto Sans"/>
          <w:b w:val="0"/>
        </w:rPr>
        <w:t>Tanggal berlaku: 10 Oktober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Situs web, layanan pelanggan, akun media sosial, atau halaman pembayaran mana pun yang mengklaim mewakili DAWNBLOOM (DAWNBLOOM) yang tidak secara eksplisit terdaftar dalam pemberitahuan ini atau di situs resmi tidak boleh diberikan informasi akun, kode verifikasi, atau diminta untuk melakukan pembayaran.</w:t>
            </w:r>
          </w:p>
        </w:tc>
      </w:tr>
    </w:tbl>
    <w:p>
      <w:pPr>
        <w:spacing w:after="40"/>
      </w:pPr>
    </w:p>
    <w:p>
      <w:pPr>
        <w:pStyle w:val="Heading1"/>
        <w:keepLines w:val="0"/>
      </w:pPr>
      <w:r>
        <w:rPr>
          <w:rFonts w:ascii="Noto Sans" w:hAnsi="Noto Sans" w:eastAsia="Arial Unicode MS" w:cs="Noto Sans"/>
          <w:b w:val="0"/>
        </w:rPr>
        <w:t>1. Tujuan Pemberitahuan Ini</w:t>
      </w:r>
    </w:p>
    <w:p>
      <w:pPr>
        <w:keepLines w:val="0"/>
      </w:pPr>
      <w:r>
        <w:rPr>
          <w:rFonts w:ascii="Noto Sans" w:hAnsi="Noto Sans" w:eastAsia="Arial Unicode MS" w:cs="Noto Sans"/>
          <w:b w:val="0"/>
        </w:rPr>
        <w:t>Pemberitahuan ini dimaksudkan untuk membantu pemain mengidentifikasi situs web resmi, alamat email resmi, akun media sosial resmi, dan saluran layanan pelanggan resmi dari "DAWNBLOOM" (DAWNBLOOM). Tujuannya adalah mengurangi risiko yang terkait dengan layanan pelanggan palsu, layanan pengisian ulang palsu, situs web phishing, tautan pencurian akun, klaim pengembalian dana palsu, dan peniruan oleh personel yang tidak sah. Saluran resmi dapat ditambahkan, dipindahkan, atau diubah namanya sesuai dengan penyesuaian platform; perubahan atau pembaruan apa pun seperti itu akan diselesaikan dan diumumkan secara resmi melalui dawnbloom.net.</w:t>
      </w:r>
    </w:p>
    <w:p>
      <w:pPr>
        <w:keepLines w:val="0"/>
      </w:pPr>
      <w:r>
        <w:rPr>
          <w:rFonts w:ascii="Noto Sans" w:hAnsi="Noto Sans" w:eastAsia="Arial Unicode MS" w:cs="Noto Sans"/>
          <w:b w:val="0"/>
        </w:rPr>
        <w:t>Pemberitahuan ini juga membantu pengguna mengidentifikasi halaman, instalator, pembaruan, dan dukungan untuk game, Token, Browser, News, Mail, Download, dan Archive. Jangan dapatkan produk yang belum dirilis dari host file yang tidak dikenal, grup obrolan, obrolan pribadi, atau situs perangkat lunak bajakan.</w:t>
      </w:r>
    </w:p>
    <w:p>
      <w:pPr>
        <w:pStyle w:val="Heading1"/>
        <w:keepLines w:val="0"/>
      </w:pPr>
      <w:r>
        <w:rPr>
          <w:rFonts w:ascii="Noto Sans" w:hAnsi="Noto Sans" w:eastAsia="Arial Unicode MS" w:cs="Noto Sans"/>
          <w:b w:val="0"/>
        </w:rPr>
        <w:t>2. Saluran Resmi</w:t>
      </w:r>
    </w:p>
    <w:p>
      <w:pPr>
        <w:keepLines w:val="0"/>
      </w:pPr>
      <w:r>
        <w:rPr>
          <w:rFonts w:ascii="Noto Sans" w:hAnsi="Noto Sans" w:eastAsia="Arial Unicode MS" w:cs="Noto Sans"/>
          <w:b w:val="0"/>
        </w:rPr>
        <w:t>DAWNBLOOM Fairy dan DAWNBLOOM AI merupakan bagian dari sistem layanan cerdas yang sama milik perusahaan kami. Jangan mengirimkan kata sandi, kode verifikasi sekali pakai lengkap, token akses, atau kredensial pembayaran dalam percakapan. Saran AI dan kartu Intelligent UI tidak menggantikan verifikasi identitas resmi; tindakan terkait akun, aset, dan data pribadi tetap harus melalui prosedur layanan resmi yang terverifikasi. Jangan percaya pesan atas nama AI yang meminta Anda melewati verifikasi, membayar ke rekening pribadi, atau mengirimkan informasi sensitif pada domain yang mirip.</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Saluran</w:t>
            </w:r>
          </w:p>
        </w:tc>
        <w:tc>
          <w:tcPr>
            <w:tcW w:type="dxa" w:w="3249"/>
            <w:vAlign w:val="center"/>
            <w:shd w:fill="DCE8F7"/>
          </w:tcPr>
          <w:p>
            <w:pPr>
              <w:keepNext/>
              <w:spacing w:after="40"/>
            </w:pPr>
            <w:r>
              <w:rPr>
                <w:rFonts w:ascii="Noto Sans" w:hAnsi="Noto Sans" w:eastAsia="Arial Unicode MS" w:cs="Noto Sans"/>
                <w:b/>
                <w:sz w:val="17"/>
              </w:rPr>
              <w:t>Informasi Resmi</w:t>
            </w:r>
          </w:p>
        </w:tc>
        <w:tc>
          <w:tcPr>
            <w:tcW w:type="dxa" w:w="3249"/>
            <w:vAlign w:val="center"/>
            <w:shd w:fill="DCE8F7"/>
          </w:tcPr>
          <w:p>
            <w:pPr>
              <w:keepNext/>
              <w:spacing w:after="40"/>
            </w:pPr>
            <w:r>
              <w:rPr>
                <w:rFonts w:ascii="Noto Sans" w:hAnsi="Noto Sans" w:eastAsia="Arial Unicode MS" w:cs="Noto Sans"/>
                <w:b/>
                <w:sz w:val="17"/>
              </w:rPr>
              <w:t>Tujuan</w:t>
            </w:r>
          </w:p>
        </w:tc>
      </w:tr>
      <w:tr>
        <w:trPr>
          <w:cantSplit/>
        </w:trPr>
        <w:tc>
          <w:tcPr>
            <w:tcW w:type="dxa" w:w="3249"/>
            <w:vAlign w:val="center"/>
          </w:tcPr>
          <w:p>
            <w:pPr>
              <w:spacing w:after="40"/>
            </w:pPr>
            <w:r>
              <w:rPr>
                <w:rFonts w:ascii="Noto Sans" w:hAnsi="Noto Sans" w:eastAsia="Arial Unicode MS" w:cs="Noto Sans"/>
                <w:sz w:val="17"/>
              </w:rPr>
              <w:t>Satu-satunya Situs Web Global</w:t>
            </w:r>
          </w:p>
        </w:tc>
        <w:tc>
          <w:tcPr>
            <w:tcW w:type="dxa" w:w="3249"/>
            <w:vAlign w:val="center"/>
          </w:tcPr>
          <w:p>
            <w:pPr>
              <w:spacing w:after="40"/>
            </w:pPr>
            <w:hyperlink r:id="rId11">
              <w:r>
                <w:rPr>
                  <w:rFonts w:ascii="Noto Sans" w:hAnsi="Noto Sans" w:eastAsia="Arial Unicode MS"/>
                  <w:sz w:val="17"/>
                </w:rPr>
                <w:t xml:space="preserve">https://dawnbloom.net</w:t>
              </w:r>
            </w:hyperlink>
          </w:p>
        </w:tc>
        <w:tc>
          <w:tcPr>
            <w:tcW w:type="dxa" w:w="3249"/>
            <w:vAlign w:val="center"/>
          </w:tcPr>
          <w:p>
            <w:pPr>
              <w:spacing w:after="40"/>
            </w:pPr>
            <w:r>
              <w:rPr>
                <w:rFonts w:ascii="Noto Sans" w:hAnsi="Noto Sans" w:eastAsia="Arial Unicode MS" w:cs="Noto Sans"/>
                <w:sz w:val="17"/>
              </w:rPr>
              <w:t>Dokumen hukum, unduhan game, layanan akun, komunitas, toko, pengumuman, dan titik masuk resmi</w:t>
            </w:r>
          </w:p>
        </w:tc>
      </w:tr>
      <w:tr>
        <w:trPr>
          <w:cantSplit/>
        </w:trPr>
        <w:tc>
          <w:tcPr>
            <w:tcW w:type="dxa" w:w="3249"/>
            <w:vAlign w:val="center"/>
          </w:tcPr>
          <w:p>
            <w:pPr>
              <w:spacing w:after="40"/>
            </w:pPr>
            <w:r>
              <w:rPr>
                <w:rFonts w:ascii="Noto Sans" w:hAnsi="Noto Sans" w:eastAsia="Arial Unicode MS" w:cs="Noto Sans"/>
                <w:sz w:val="17"/>
              </w:rPr>
              <w:t>Halaman bahasa Mandarin resmi</w:t>
            </w:r>
          </w:p>
        </w:tc>
        <w:tc>
          <w:tcPr>
            <w:tcW w:type="dxa" w:w="3249"/>
            <w:vAlign w:val="center"/>
          </w:tcPr>
          <w:p>
            <w:pPr>
              <w:spacing w:after="40"/>
            </w:pPr>
            <w:r>
              <w:rPr>
                <w:rFonts w:ascii="Noto Sans" w:hAnsi="Noto Sans" w:eastAsia="Arial Unicode MS" w:cs="Noto Sans"/>
                <w:sz w:val="17"/>
              </w:rPr>
              <w:t>https://dawnbloom.com.cn</w:t>
              <w:br/>
              <w:t>www.dawnbloom.com.cn</w:t>
            </w:r>
          </w:p>
        </w:tc>
        <w:tc>
          <w:tcPr>
            <w:tcW w:type="dxa" w:w="3249"/>
            <w:vAlign w:val="center"/>
          </w:tcPr>
          <w:p>
            <w:pPr>
              <w:spacing w:after="40"/>
            </w:pPr>
            <w:r>
              <w:rPr>
                <w:rFonts w:ascii="Noto Sans" w:hAnsi="Noto Sans" w:eastAsia="Arial Unicode MS" w:cs="Noto Sans"/>
                <w:sz w:val="17"/>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Halaman bahasa Jepang resmi</w:t>
            </w:r>
          </w:p>
        </w:tc>
        <w:tc>
          <w:tcPr>
            <w:tcW w:type="dxa" w:w="3249"/>
            <w:vAlign w:val="center"/>
          </w:tcPr>
          <w:p>
            <w:pPr>
              <w:spacing w:after="40"/>
            </w:pPr>
            <w:r>
              <w:rPr>
                <w:rFonts w:ascii="Noto Sans" w:hAnsi="Noto Sans" w:eastAsia="Arial Unicode MS" w:cs="Noto Sans"/>
                <w:sz w:val="17"/>
              </w:rPr>
              <w:t>https://dawnbloom.jp</w:t>
              <w:br/>
              <w:t>www.dawnbloom.jp</w:t>
            </w:r>
          </w:p>
        </w:tc>
        <w:tc>
          <w:tcPr>
            <w:tcW w:type="dxa" w:w="3249"/>
            <w:vAlign w:val="center"/>
          </w:tcPr>
          <w:p>
            <w:pPr>
              <w:spacing w:after="40"/>
            </w:pPr>
            <w:r>
              <w:rPr>
                <w:rFonts w:ascii="Noto Sans" w:hAnsi="Noto Sans" w:eastAsia="Arial Unicode MS" w:cs="Noto Sans"/>
                <w:sz w:val="17"/>
              </w:rPr>
              <w:t xml:space="preserve">Terbuka;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Titik Masuk Bahasa Korea Resmi</w:t>
            </w:r>
          </w:p>
        </w:tc>
        <w:tc>
          <w:tcPr>
            <w:tcW w:type="dxa" w:w="3249"/>
            <w:vAlign w:val="center"/>
          </w:tcPr>
          <w:p>
            <w:pPr>
              <w:spacing w:after="40"/>
            </w:pPr>
            <w:hyperlink r:id="rId14">
              <w:r>
                <w:rPr>
                  <w:rFonts w:ascii="Noto Sans" w:hAnsi="Noto Sans" w:eastAsia="Arial Unicode MS"/>
                  <w:sz w:val="17"/>
                </w:rPr>
                <w:t xml:space="preserve">https://dawnbloom.kr</w:t>
              </w:r>
            </w:hyperlink>
            <w:r>
              <w:rPr>
                <w:rFonts w:ascii="Noto Sans" w:hAnsi="Noto Sans" w:eastAsia="Arial Unicode MS" w:cs="Noto Sans"/>
                <w:sz w:val="17"/>
              </w:rPr>
              <w:t xml:space="preserve"> · www.dawnbloom.kr</w:t>
            </w:r>
          </w:p>
        </w:tc>
        <w:tc>
          <w:tcPr>
            <w:tcW w:type="dxa" w:w="3249"/>
            <w:vAlign w:val="center"/>
          </w:tcPr>
          <w:p>
            <w:pPr>
              <w:spacing w:after="40"/>
            </w:pPr>
            <w:r>
              <w:rPr>
                <w:rFonts w:ascii="Noto Sans" w:hAnsi="Noto Sans" w:eastAsia="Arial Unicode MS" w:cs="Noto Sans"/>
                <w:sz w:val="17"/>
              </w:rPr>
              <w:t xml:space="preserve">Entri bahasa Korea resmi dawnbloom.kr dan www.dawnbloom.kr menggunakan redirect HTTPS 301 ke </w:t>
            </w:r>
            <w:hyperlink r:id="rId15">
              <w:r>
                <w:rPr>
                  <w:rFonts w:ascii="Noto Sans" w:hAnsi="Noto Sans" w:eastAsia="Arial Unicode MS"/>
                  <w:sz w:val="17"/>
                </w:rPr>
                <w:t xml:space="preserve">https://dawnbloom.net/kr/.</w:t>
              </w:r>
            </w:hyperlink>
            <w:r>
              <w:rPr>
                <w:rFonts w:ascii="Noto Sans" w:hAnsi="Noto Sans" w:eastAsia="Arial Unicode MS" w:cs="Noto Sans"/>
                <w:sz w:val="17"/>
              </w:rPr>
              <w:t xml:space="preserve"> Perubahan DNS mungkin memerlukan waktu untuk disebarkan. Mereka menggunakan situs web terpadu dan tidak membuat situs web terpisah, akun, basis data, atau server game Korea.</w:t>
            </w:r>
          </w:p>
        </w:tc>
      </w:tr>
      <w:tr>
        <w:trPr>
          <w:cantSplit/>
        </w:trPr>
        <w:tc>
          <w:tcPr>
            <w:tcW w:type="dxa" w:w="3249"/>
            <w:vAlign w:val="center"/>
          </w:tcPr>
          <w:p>
            <w:pPr>
              <w:spacing w:after="40"/>
            </w:pPr>
            <w:r>
              <w:rPr>
                <w:rFonts w:ascii="Noto Sans" w:hAnsi="Noto Sans" w:eastAsia="Arial Unicode MS" w:cs="Noto Sans"/>
                <w:sz w:val="17"/>
              </w:rPr>
              <w:t>Entri perlindungan merek Mandarin yang ada</w:t>
            </w:r>
          </w:p>
        </w:tc>
        <w:tc>
          <w:tcPr>
            <w:tcW w:type="dxa" w:w="3249"/>
            <w:vAlign w:val="center"/>
          </w:tcPr>
          <w:p>
            <w:pPr>
              <w:spacing w:after="40"/>
            </w:pPr>
            <w:r>
              <w:rPr>
                <w:rFonts w:ascii="Noto Sans" w:hAnsi="Noto Sans" w:eastAsia="Arial Unicode MS" w:cs="Noto Sans"/>
                <w:sz w:val="17"/>
              </w:rPr>
              <w:t>DAWNBLOOM.com</w:t>
              <w:br/>
              <w:t>xn--jhqp2f4z3amfugzo.com</w:t>
            </w:r>
          </w:p>
        </w:tc>
        <w:tc>
          <w:tcPr>
            <w:tcW w:type="dxa" w:w="3249"/>
            <w:vAlign w:val="center"/>
          </w:tcPr>
          <w:p>
            <w:pPr>
              <w:spacing w:after="40"/>
            </w:pPr>
            <w:r>
              <w:rPr>
                <w:rFonts w:ascii="Noto Sans" w:hAnsi="Noto Sans" w:eastAsia="Arial Unicode MS" w:cs="Noto Sans"/>
                <w:sz w:val="17"/>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Entri perlindungan merek Jepang yang ada</w:t>
            </w:r>
          </w:p>
        </w:tc>
        <w:tc>
          <w:tcPr>
            <w:tcW w:type="dxa" w:w="3249"/>
            <w:vAlign w:val="center"/>
          </w:tcPr>
          <w:p>
            <w:pPr>
              <w:spacing w:after="40"/>
            </w:pPr>
            <w:r>
              <w:rPr>
                <w:rFonts w:ascii="Noto Sans" w:hAnsi="Noto Sans" w:eastAsia="Arial Unicode MS" w:cs="Noto Sans"/>
                <w:sz w:val="17"/>
              </w:rPr>
              <w:t>光と花咲く森.com</w:t>
              <w:br/>
              <w:t>xn--y8j6bw89l23cbo7ari8a.com</w:t>
            </w:r>
          </w:p>
        </w:tc>
        <w:tc>
          <w:tcPr>
            <w:tcW w:type="dxa" w:w="3249"/>
            <w:vAlign w:val="center"/>
          </w:tcPr>
          <w:p>
            <w:pPr>
              <w:spacing w:after="40"/>
            </w:pPr>
            <w:r>
              <w:rPr>
                <w:rFonts w:ascii="Noto Sans" w:hAnsi="Noto Sans" w:eastAsia="Arial Unicode MS" w:cs="Noto Sans"/>
                <w:sz w:val="17"/>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email layanan pelanggan</w:t>
            </w:r>
          </w:p>
        </w:tc>
        <w:tc>
          <w:tcPr>
            <w:tcW w:type="dxa" w:w="3249"/>
            <w:vAlign w:val="center"/>
          </w:tcPr>
          <w:p>
            <w:pPr>
              <w:spacing w:after="40"/>
            </w:pPr>
            <w:hyperlink r:id="rId16">
              <w:r>
                <w:rPr>
                  <w:rFonts w:ascii="Noto Sans" w:hAnsi="Noto Sans" w:eastAsia="Arial Unicode MS"/>
                  <w:sz w:val="17"/>
                </w:rPr>
                <w:t xml:space="preserve">support@dawnbloom.net</w:t>
              </w:r>
            </w:hyperlink>
          </w:p>
        </w:tc>
        <w:tc>
          <w:tcPr>
            <w:tcW w:type="dxa" w:w="3249"/>
            <w:vAlign w:val="center"/>
          </w:tcPr>
          <w:p>
            <w:pPr>
              <w:spacing w:after="40"/>
            </w:pPr>
            <w:r>
              <w:rPr>
                <w:rFonts w:ascii="Noto Sans" w:hAnsi="Noto Sans" w:eastAsia="Arial Unicode MS" w:cs="Noto Sans"/>
                <w:sz w:val="17"/>
              </w:rPr>
              <w:t>Layanan pelanggan pemain, masalah akun, situasi abnormal, dan dukungan umum</w:t>
            </w:r>
          </w:p>
        </w:tc>
      </w:tr>
      <w:tr>
        <w:trPr>
          <w:cantSplit/>
        </w:trPr>
        <w:tc>
          <w:tcPr>
            <w:tcW w:type="dxa" w:w="3249"/>
            <w:vAlign w:val="center"/>
          </w:tcPr>
          <w:p>
            <w:pPr>
              <w:spacing w:after="40"/>
            </w:pPr>
            <w:r>
              <w:rPr>
                <w:rFonts w:ascii="Noto Sans" w:hAnsi="Noto Sans" w:eastAsia="Arial Unicode MS" w:cs="Noto Sans"/>
                <w:sz w:val="17"/>
              </w:rPr>
              <w:t>Saran / keluhan</w:t>
            </w:r>
          </w:p>
        </w:tc>
        <w:tc>
          <w:tcPr>
            <w:tcW w:type="dxa" w:w="3249"/>
            <w:vAlign w:val="center"/>
          </w:tcPr>
          <w:p>
            <w:pPr>
              <w:spacing w:after="40"/>
            </w:pPr>
            <w:hyperlink r:id="rId17">
              <w:r>
                <w:rPr>
                  <w:rFonts w:ascii="Noto Sans" w:hAnsi="Noto Sans" w:eastAsia="Arial Unicode MS"/>
                  <w:sz w:val="17"/>
                </w:rPr>
                <w:t xml:space="preserve">hello@dawnbloom.net</w:t>
              </w:r>
            </w:hyperlink>
          </w:p>
        </w:tc>
        <w:tc>
          <w:tcPr>
            <w:tcW w:type="dxa" w:w="3249"/>
            <w:vAlign w:val="center"/>
          </w:tcPr>
          <w:p>
            <w:pPr>
              <w:spacing w:after="40"/>
            </w:pPr>
            <w:r>
              <w:rPr>
                <w:rFonts w:ascii="Noto Sans" w:hAnsi="Noto Sans" w:eastAsia="Arial Unicode MS" w:cs="Noto Sans"/>
                <w:sz w:val="17"/>
              </w:rPr>
              <w:t>Saran sehari-hari, keluhan layanan, dan umpan balik pengalaman</w:t>
            </w:r>
          </w:p>
        </w:tc>
      </w:tr>
      <w:tr>
        <w:trPr>
          <w:cantSplit/>
        </w:trPr>
        <w:tc>
          <w:tcPr>
            <w:tcW w:type="dxa" w:w="3249"/>
            <w:vAlign w:val="center"/>
          </w:tcPr>
          <w:p>
            <w:pPr>
              <w:spacing w:after="40"/>
            </w:pPr>
            <w:r>
              <w:rPr>
                <w:rFonts w:ascii="Noto Sans" w:hAnsi="Noto Sans" w:eastAsia="Arial Unicode MS" w:cs="Noto Sans"/>
                <w:sz w:val="17"/>
              </w:rPr>
              <w:t>email penagihan</w:t>
            </w:r>
          </w:p>
        </w:tc>
        <w:tc>
          <w:tcPr>
            <w:tcW w:type="dxa" w:w="3249"/>
            <w:vAlign w:val="center"/>
          </w:tcPr>
          <w:p>
            <w:pPr>
              <w:spacing w:after="40"/>
            </w:pPr>
            <w:hyperlink r:id="rId18">
              <w:r>
                <w:rPr>
                  <w:rFonts w:ascii="Noto Sans" w:hAnsi="Noto Sans" w:eastAsia="Arial Unicode MS"/>
                  <w:sz w:val="17"/>
                </w:rPr>
                <w:t xml:space="preserve">billing@dawnbloom.net</w:t>
              </w:r>
            </w:hyperlink>
          </w:p>
        </w:tc>
        <w:tc>
          <w:tcPr>
            <w:tcW w:type="dxa" w:w="3249"/>
            <w:vAlign w:val="center"/>
          </w:tcPr>
          <w:p>
            <w:pPr>
              <w:spacing w:after="40"/>
            </w:pPr>
            <w:r>
              <w:rPr>
                <w:rFonts w:ascii="Noto Sans" w:hAnsi="Noto Sans" w:eastAsia="Arial Unicode MS" w:cs="Noto Sans"/>
                <w:sz w:val="17"/>
              </w:rPr>
              <w:t>Pesanan, pembayaran, penagihan, pengembalian dana, dan hal-hal terkait transaksi</w:t>
            </w:r>
          </w:p>
        </w:tc>
      </w:tr>
      <w:tr>
        <w:trPr>
          <w:cantSplit/>
        </w:trPr>
        <w:tc>
          <w:tcPr>
            <w:tcW w:type="dxa" w:w="3249"/>
            <w:vAlign w:val="center"/>
          </w:tcPr>
          <w:p>
            <w:pPr>
              <w:spacing w:after="40"/>
            </w:pPr>
            <w:r>
              <w:rPr>
                <w:rFonts w:ascii="Noto Sans" w:hAnsi="Noto Sans" w:eastAsia="Arial Unicode MS" w:cs="Noto Sans"/>
                <w:sz w:val="17"/>
              </w:rPr>
              <w:t>Email media/kolaborasi</w:t>
            </w:r>
          </w:p>
        </w:tc>
        <w:tc>
          <w:tcPr>
            <w:tcW w:type="dxa" w:w="3249"/>
            <w:vAlign w:val="center"/>
          </w:tcPr>
          <w:p>
            <w:pPr>
              <w:spacing w:after="40"/>
            </w:pPr>
            <w:hyperlink r:id="rId19">
              <w:r>
                <w:rPr>
                  <w:rFonts w:ascii="Noto Sans" w:hAnsi="Noto Sans" w:eastAsia="Arial Unicode MS"/>
                  <w:sz w:val="17"/>
                </w:rPr>
                <w:t xml:space="preserve">contact@dawnbloom.net</w:t>
              </w:r>
            </w:hyperlink>
          </w:p>
        </w:tc>
        <w:tc>
          <w:tcPr>
            <w:tcW w:type="dxa" w:w="3249"/>
            <w:vAlign w:val="center"/>
          </w:tcPr>
          <w:p>
            <w:pPr>
              <w:spacing w:after="40"/>
            </w:pPr>
            <w:r>
              <w:rPr>
                <w:rFonts w:ascii="Noto Sans" w:hAnsi="Noto Sans" w:eastAsia="Arial Unicode MS" w:cs="Noto Sans"/>
                <w:sz w:val="17"/>
              </w:rPr>
              <w:t>Pertanyaan media, kerja sama bisnis, dan hal non-layanan pelanggan</w:t>
            </w:r>
          </w:p>
        </w:tc>
      </w:tr>
      <w:tr>
        <w:trPr>
          <w:cantSplit/>
        </w:trPr>
        <w:tc>
          <w:tcPr>
            <w:tcW w:type="dxa" w:w="3249"/>
            <w:vAlign w:val="center"/>
          </w:tcPr>
          <w:p>
            <w:pPr>
              <w:spacing w:after="40"/>
            </w:pPr>
            <w:r>
              <w:rPr>
                <w:rFonts w:ascii="Noto Sans" w:hAnsi="Noto Sans" w:eastAsia="Arial Unicode MS" w:cs="Noto Sans"/>
                <w:sz w:val="17"/>
              </w:rPr>
              <w:t>Email hukum/hak cipta</w:t>
            </w:r>
          </w:p>
        </w:tc>
        <w:tc>
          <w:tcPr>
            <w:tcW w:type="dxa" w:w="3249"/>
            <w:vAlign w:val="center"/>
          </w:tcPr>
          <w:p>
            <w:pPr>
              <w:spacing w:after="40"/>
            </w:pPr>
            <w:hyperlink r:id="rId20">
              <w:r>
                <w:rPr>
                  <w:rFonts w:ascii="Noto Sans" w:hAnsi="Noto Sans" w:eastAsia="Arial Unicode MS"/>
                  <w:sz w:val="17"/>
                </w:rPr>
                <w:t xml:space="preserve">legal@dawnbloom.net</w:t>
              </w:r>
            </w:hyperlink>
          </w:p>
        </w:tc>
        <w:tc>
          <w:tcPr>
            <w:tcW w:type="dxa" w:w="3249"/>
            <w:vAlign w:val="center"/>
          </w:tcPr>
          <w:p>
            <w:pPr>
              <w:spacing w:after="40"/>
            </w:pPr>
            <w:r>
              <w:rPr>
                <w:rFonts w:ascii="Noto Sans" w:hAnsi="Noto Sans" w:eastAsia="Arial Unicode MS" w:cs="Noto Sans"/>
                <w:sz w:val="17"/>
              </w:rPr>
              <w:t>Pemberitahuan hukum, hak cipta, kekayaan intelektual, dan komunikasi hukum resmi</w:t>
            </w:r>
          </w:p>
        </w:tc>
      </w:tr>
      <w:tr>
        <w:trPr>
          <w:cantSplit/>
        </w:trPr>
        <w:tc>
          <w:tcPr>
            <w:tcW w:type="dxa" w:w="3249"/>
            <w:vAlign w:val="center"/>
          </w:tcPr>
          <w:p>
            <w:pPr>
              <w:spacing w:after="40"/>
            </w:pPr>
            <w:r>
              <w:rPr>
                <w:rFonts w:ascii="Noto Sans" w:hAnsi="Noto Sans" w:eastAsia="Arial Unicode MS" w:cs="Noto Sans"/>
                <w:sz w:val="17"/>
              </w:rPr>
              <w:t>Email kerentanan keamanan</w:t>
            </w:r>
          </w:p>
        </w:tc>
        <w:tc>
          <w:tcPr>
            <w:tcW w:type="dxa" w:w="3249"/>
            <w:vAlign w:val="center"/>
          </w:tcPr>
          <w:p>
            <w:pPr>
              <w:spacing w:after="40"/>
            </w:pPr>
            <w:hyperlink r:id="rId21">
              <w:r>
                <w:rPr>
                  <w:rFonts w:ascii="Noto Sans" w:hAnsi="Noto Sans" w:eastAsia="Arial Unicode MS"/>
                  <w:sz w:val="17"/>
                </w:rPr>
                <w:t xml:space="preserve">security@dawnbloom.net</w:t>
              </w:r>
            </w:hyperlink>
          </w:p>
        </w:tc>
        <w:tc>
          <w:tcPr>
            <w:tcW w:type="dxa" w:w="3249"/>
            <w:vAlign w:val="center"/>
          </w:tcPr>
          <w:p>
            <w:pPr>
              <w:spacing w:after="40"/>
            </w:pPr>
            <w:r>
              <w:rPr>
                <w:rFonts w:ascii="Noto Sans" w:hAnsi="Noto Sans" w:eastAsia="Arial Unicode MS" w:cs="Noto Sans"/>
                <w:sz w:val="17"/>
              </w:rPr>
              <w:t>Kerentanan keamanan, isu teknis keamanan, dan pengungkapan bertanggung jawab</w:t>
            </w:r>
          </w:p>
        </w:tc>
      </w:tr>
    </w:tbl>
    <w:p>
      <w:pPr>
        <w:spacing w:after="40"/>
      </w:pPr>
    </w:p>
    <w:p>
      <w:pPr>
        <w:keepLines w:val="0"/>
      </w:pPr>
      <w:r>
        <w:rPr>
          <w:rFonts w:ascii="Noto Sans" w:hAnsi="Noto Sans" w:eastAsia="Arial Unicode MS" w:cs="Noto Sans"/>
          <w:b w:val="0"/>
        </w:rPr>
        <w:t>Entri regional dalam tabel hanya memandu pemilihan bahasa. Mereka tidak secara mandiri menangani pendaftaran, autentikasi, perubahan kata sandi, isi ulang, pembayaran, atau pesanan. Setelah pengalihan normal, verifikasi nama host situs utama lengkap dan jalur bahasa di bilah alamat. Kedua entri regional terbuka dan menggunakan pengalihan HTTPS 301 ke jalur bahasa situs utama yang terdaftar. Entri regional tidak membuat operator atau basis data baru dan tidak memigrasikan akun atau data pemain. Akhiran mereka tidak menetapkan hosting Tiongkok Daratan, pendaftaran ICP, atau perusahaan/cabang Jepang. Operator menyediakan identitas pendaftaran perusahaan untuk entri Tiongkok. Pemilik terdaftar dan otorisasi resmi entri Jepang masih perlu diverifikasi; pemberitahuan ini tidak mengklaim kepemilikan perusahaan langsung. Domain perlindungan merek yang ada tetap terdaftar. Tampilan Punycode saja bukan bukti peniruan, tetapi periksa ejaan lengkap dan alamat akhir. Domain mirip lainnya tidak menjadi resmi karena kesamaan. Email resmi masih menggunakan @dawnbloom.net saja.</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Layanan</w:t>
            </w:r>
          </w:p>
        </w:tc>
        <w:tc>
          <w:tcPr>
            <w:tcW w:type="dxa" w:w="4873"/>
            <w:vAlign w:val="center"/>
            <w:shd w:fill="DCE8F7"/>
          </w:tcPr>
          <w:p>
            <w:pPr>
              <w:keepNext/>
              <w:spacing w:after="40"/>
            </w:pPr>
            <w:r>
              <w:rPr>
                <w:rFonts w:ascii="Noto Sans" w:hAnsi="Noto Sans" w:eastAsia="Arial Unicode MS" w:cs="Noto Sans"/>
                <w:b/>
                <w:sz w:val="17"/>
              </w:rPr>
              <w:t>Jalur situs utama resmi (ganti zh dengan en atau ja)</w:t>
            </w:r>
          </w:p>
        </w:tc>
      </w:tr>
      <w:tr>
        <w:trPr>
          <w:cantSplit/>
        </w:trPr>
        <w:tc>
          <w:tcPr>
            <w:tcW w:type="dxa" w:w="4873"/>
            <w:vAlign w:val="center"/>
          </w:tcPr>
          <w:p>
            <w:pPr>
              <w:spacing w:after="40"/>
            </w:pPr>
            <w:r>
              <w:rPr>
                <w:rFonts w:ascii="Noto Sans" w:hAnsi="Noto Sans" w:eastAsia="Arial Unicode MS" w:cs="Noto Sans"/>
                <w:sz w:val="17"/>
              </w:rPr>
              <w:t>Masuk akun</w:t>
            </w:r>
          </w:p>
        </w:tc>
        <w:tc>
          <w:tcPr>
            <w:tcW w:type="dxa" w:w="4873"/>
            <w:vAlign w:val="center"/>
          </w:tcPr>
          <w:p>
            <w:pPr>
              <w:spacing w:after="40"/>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pPr>
            <w:r>
              <w:rPr>
                <w:rFonts w:ascii="Noto Sans" w:hAnsi="Noto Sans" w:eastAsia="Arial Unicode MS" w:cs="Noto Sans"/>
                <w:sz w:val="17"/>
              </w:rPr>
              <w:t>Pemulihan dan kontrol keamanan</w:t>
            </w:r>
          </w:p>
        </w:tc>
        <w:tc>
          <w:tcPr>
            <w:tcW w:type="dxa" w:w="4873"/>
            <w:vAlign w:val="center"/>
          </w:tcPr>
          <w:p>
            <w:pPr>
              <w:spacing w:after="40"/>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pPr>
            <w:r>
              <w:rPr>
                <w:rFonts w:ascii="Noto Sans" w:hAnsi="Noto Sans" w:eastAsia="Arial Unicode MS" w:cs="Noto Sans"/>
                <w:sz w:val="17"/>
              </w:rPr>
              <w:t>Dukungan dan kontak</w:t>
            </w:r>
          </w:p>
        </w:tc>
        <w:tc>
          <w:tcPr>
            <w:tcW w:type="dxa" w:w="4873"/>
            <w:vAlign w:val="center"/>
          </w:tcPr>
          <w:p>
            <w:pPr>
              <w:spacing w:after="40"/>
            </w:pPr>
            <w:r>
              <w:rPr>
                <w:rFonts w:ascii="Noto Sans" w:hAnsi="Noto Sans" w:eastAsia="Arial Unicode MS" w:cs="Noto Sans"/>
                <w:sz w:val="17"/>
              </w:rPr>
              <w:t>https://dawnbloom.net/zh/support/</w:t>
              <w:br/>
              <w:t>https://dawnbloom.net/zh/support/contact/</w:t>
            </w:r>
          </w:p>
        </w:tc>
      </w:tr>
      <w:tr>
        <w:trPr>
          <w:cantSplit/>
        </w:trPr>
        <w:tc>
          <w:tcPr>
            <w:tcW w:type="dxa" w:w="4873"/>
            <w:vAlign w:val="center"/>
          </w:tcPr>
          <w:p>
            <w:pPr>
              <w:spacing w:after="40"/>
            </w:pPr>
            <w:r>
              <w:rPr>
                <w:rFonts w:ascii="Noto Sans" w:hAnsi="Noto Sans" w:eastAsia="Arial Unicode MS" w:cs="Noto Sans"/>
                <w:sz w:val="17"/>
              </w:rPr>
              <w:t>Unduhan resmi</w:t>
            </w:r>
          </w:p>
        </w:tc>
        <w:tc>
          <w:tcPr>
            <w:tcW w:type="dxa" w:w="4873"/>
            <w:vAlign w:val="center"/>
          </w:tcPr>
          <w:p>
            <w:pPr>
              <w:spacing w:after="40"/>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pPr>
            <w:r>
              <w:rPr>
                <w:rFonts w:ascii="Noto Sans" w:hAnsi="Noto Sans" w:eastAsia="Arial Unicode MS" w:cs="Noto Sans"/>
                <w:sz w:val="17"/>
              </w:rPr>
              <w:t>Toko, isi ulang, dan tagihan (tergantung ketersediaan)</w:t>
            </w:r>
          </w:p>
        </w:tc>
        <w:tc>
          <w:tcPr>
            <w:tcW w:type="dxa" w:w="4873"/>
            <w:vAlign w:val="center"/>
          </w:tcPr>
          <w:p>
            <w:pPr>
              <w:spacing w:after="40"/>
            </w:pPr>
            <w:r>
              <w:rPr>
                <w:rFonts w:ascii="Noto Sans" w:hAnsi="Noto Sans" w:eastAsia="Arial Unicode MS" w:cs="Noto Sans"/>
                <w:sz w:val="17"/>
              </w:rPr>
              <w:t>https://dawnbloom.net/zh/shop/</w:t>
              <w:br/>
              <w:t>https://dawnbloom.net/zh/recharge/</w:t>
              <w:br/>
              <w:t>https://dawnbloom.net/zh/support/billing/</w:t>
            </w:r>
          </w:p>
        </w:tc>
      </w:tr>
    </w:tbl>
    <w:p>
      <w:pPr>
        <w:spacing w:after="40"/>
      </w:pPr>
    </w:p>
    <w:p>
      <w:pPr>
        <w:pStyle w:val="Heading1"/>
        <w:keepLines w:val="0"/>
      </w:pPr>
      <w:r>
        <w:rPr>
          <w:rFonts w:ascii="Noto Sans" w:hAnsi="Noto Sans" w:eastAsia="Arial Unicode MS" w:cs="Noto Sans"/>
          <w:b w:val="0"/>
        </w:rPr>
        <w:t>Informasi Entitas Operasional dan Kontak Hukum</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Proyek</w:t>
            </w:r>
          </w:p>
        </w:tc>
        <w:tc>
          <w:tcPr>
            <w:tcW w:type="dxa" w:w="4873"/>
            <w:vAlign w:val="center"/>
            <w:shd w:fill="DCE8F7"/>
          </w:tcPr>
          <w:p>
            <w:pPr>
              <w:keepNext/>
              <w:spacing w:after="40"/>
            </w:pPr>
            <w:r>
              <w:rPr>
                <w:rFonts w:ascii="Noto Sans" w:hAnsi="Noto Sans" w:eastAsia="Arial Unicode MS" w:cs="Noto Sans"/>
                <w:b/>
                <w:sz w:val="17"/>
              </w:rPr>
              <w:t>Informasi</w:t>
            </w:r>
          </w:p>
        </w:tc>
      </w:tr>
      <w:tr>
        <w:trPr>
          <w:cantSplit/>
        </w:trPr>
        <w:tc>
          <w:tcPr>
            <w:tcW w:type="dxa" w:w="4873"/>
            <w:vAlign w:val="center"/>
          </w:tcPr>
          <w:p>
            <w:pPr>
              <w:spacing w:after="40"/>
            </w:pPr>
            <w:r>
              <w:rPr>
                <w:rFonts w:ascii="Noto Sans" w:hAnsi="Noto Sans" w:eastAsia="Arial Unicode MS" w:cs="Noto Sans"/>
                <w:sz w:val="17"/>
              </w:rPr>
              <w:t>Operator / Penyedia Layanan Situs Web</w:t>
            </w:r>
          </w:p>
        </w:tc>
        <w:tc>
          <w:tcPr>
            <w:tcW w:type="dxa" w:w="4873"/>
            <w:vAlign w:val="center"/>
          </w:tcPr>
          <w:p>
            <w:pPr>
              <w:spacing w:after="40"/>
            </w:pPr>
            <w:r>
              <w:rPr>
                <w:rFonts w:ascii="Noto Sans" w:hAnsi="Noto Sans" w:eastAsia="Arial Unicode MS" w:cs="Noto Sans"/>
                <w:sz w:val="17"/>
              </w:rPr>
              <w:t>上海追光智创文化传媒有限公司 (Nama publik berbahasa Inggris: SHANGHAI LUMIREALM CREATIVE MEDIA CO., LTD.)</w:t>
            </w:r>
          </w:p>
        </w:tc>
      </w:tr>
      <w:tr>
        <w:trPr>
          <w:cantSplit/>
        </w:trPr>
        <w:tc>
          <w:tcPr>
            <w:tcW w:type="dxa" w:w="4873"/>
            <w:vAlign w:val="center"/>
          </w:tcPr>
          <w:p>
            <w:pPr>
              <w:spacing w:after="40"/>
            </w:pPr>
            <w:r>
              <w:rPr>
                <w:rFonts w:ascii="Noto Sans" w:hAnsi="Noto Sans" w:eastAsia="Arial Unicode MS" w:cs="Noto Sans"/>
                <w:sz w:val="17"/>
              </w:rPr>
              <w:t>Alamat operasi / alamat kontak hukum</w:t>
            </w:r>
          </w:p>
        </w:tc>
        <w:tc>
          <w:tcPr>
            <w:tcW w:type="dxa" w:w="4873"/>
            <w:vAlign w:val="center"/>
          </w:tcPr>
          <w:p>
            <w:pPr>
              <w:spacing w:after="40"/>
            </w:pPr>
            <w:r>
              <w:rPr>
                <w:rFonts w:ascii="Noto Sans" w:hAnsi="Noto Sans" w:eastAsia="Arial Unicode MS" w:cs="Noto Sans"/>
                <w:sz w:val="17"/>
              </w:rPr>
              <w:t>Kamar 218, Gedung 3, No. 336 Jalan Tianjiao, Area Khusus Lin-gang, Zona Perdagangan Bebas Piloting Tiongkok (Shanghai), Tiongkok</w:t>
            </w:r>
          </w:p>
        </w:tc>
      </w:tr>
    </w:tbl>
    <w:p>
      <w:pPr>
        <w:spacing w:after="40"/>
      </w:pPr>
    </w:p>
    <w:p>
      <w:pPr>
        <w:pStyle w:val="Heading1"/>
        <w:keepLines w:val="0"/>
      </w:pPr>
      <w:r>
        <w:rPr>
          <w:rFonts w:ascii="Noto Sans" w:hAnsi="Noto Sans" w:eastAsia="Arial Unicode MS" w:cs="Noto Sans"/>
          <w:b w:val="0"/>
        </w:rPr>
        <w:t>3. Saluran Media Sosial dan Pesan Instan Resmi</w:t>
      </w:r>
    </w:p>
    <w:p>
      <w:pPr>
        <w:keepLines w:val="0"/>
      </w:pPr>
      <w:r>
        <w:rPr>
          <w:rFonts w:ascii="Noto Sans" w:hAnsi="Noto Sans" w:eastAsia="Arial Unicode MS" w:cs="Noto Sans"/>
          <w:b w:val="0"/>
        </w:rPr>
        <w:t xml:space="preserve">Nama resmi, nama pengguna, dan tautan platform dapat berubah. Buka saluran yang terdaftar melalui Dukungan atau Kontak di situs utama; hasil pencarian, avatar, atau jumlah pengikut tidak menetapkan identitas. Verifikasi kontak yang meragukan melalui </w:t>
      </w:r>
      <w:hyperlink r:id="rId25">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pStyle w:val="ListBullet"/>
        <w:keepLines w:val="0"/>
      </w:pPr>
      <w:r>
        <w:rPr>
          <w:rFonts w:ascii="Noto Sans" w:hAnsi="Noto Sans" w:eastAsia="Arial Unicode MS" w:cs="Noto Sans"/>
          <w:b w:val="0"/>
        </w:rPr>
        <w:t>Platform yang didukung dapat mencakup Facebook, Threads, Instagram, YouTube, X, Bluesky, Xiaohongshu, WeChat, Douyin, dan lainnya.</w:t>
      </w:r>
    </w:p>
    <w:p>
      <w:pPr>
        <w:pStyle w:val="ListBullet"/>
        <w:keepLines w:val="0"/>
      </w:pPr>
      <w:r>
        <w:rPr>
          <w:rFonts w:ascii="Noto Sans" w:hAnsi="Noto Sans" w:eastAsia="Arial Unicode MS" w:cs="Noto Sans"/>
          <w:b w:val="0"/>
        </w:rPr>
        <w:t>Jika akun di platform mana pun tidak tercantum di halaman saluran resmi dawnbloom.net, meskipun nama, foto profil, atau kontennya tampak mirip dengan yang resmi, jangan mengasumsikan itu sebagai akun resmi hanya berdasarkan kemiripan visual.</w:t>
      </w:r>
    </w:p>
    <w:p>
      <w:pPr>
        <w:pStyle w:val="ListBullet"/>
        <w:keepLines w:val="0"/>
      </w:pPr>
      <w:r>
        <w:rPr>
          <w:rFonts w:ascii="Noto Sans" w:hAnsi="Noto Sans" w:eastAsia="Arial Unicode MS" w:cs="Noto Sans"/>
          <w:b w:val="0"/>
        </w:rPr>
        <w:t>Setiap penambahan, penangguhan, pemindahan, atau penggantian nama saluran resmi akan tunduk pada pengumuman resmi terbaru di dawnbloom.net.</w:t>
      </w:r>
    </w:p>
    <w:p>
      <w:pPr>
        <w:pStyle w:val="Heading1"/>
        <w:keepLines w:val="0"/>
      </w:pPr>
      <w:r>
        <w:rPr>
          <w:rFonts w:ascii="Noto Sans" w:hAnsi="Noto Sans" w:eastAsia="Arial Unicode MS" w:cs="Noto Sans"/>
          <w:b w:val="0"/>
        </w:rPr>
        <w:t>4. Hal yang tidak akan pernah diminta oleh pihak resmi untuk Anda lakukan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Berhati-hatilah: personel layanan pelanggan resmi tidak akan pernah meminta kata sandi akun Anda, kode verifikasi satu kali, atau kata sandi pembayaran melalui pesan pribadi. Mereka juga tidak akan pernah meminta Anda mentransfer uang ke rekening pribadi dengan dalih seperti "pembukaan kunci", "pengembalian dana", "klaim hadiah", "pemulihan peralatan", atau "verifikasi aset".</w:t>
            </w:r>
          </w:p>
        </w:tc>
      </w:tr>
    </w:tbl>
    <w:p>
      <w:pPr>
        <w:spacing w:after="40"/>
      </w:pPr>
    </w:p>
    <w:p>
      <w:pPr>
        <w:keepLines w:val="0"/>
      </w:pPr>
      <w:r>
        <w:rPr>
          <w:rFonts w:ascii="Noto Sans" w:hAnsi="Noto Sans" w:eastAsia="Arial Unicode MS" w:cs="Noto Sans"/>
          <w:b w:val="0"/>
        </w:rPr>
        <w:t>Kode Token berputar, detail pemulihan akun, dan percakapan dengan Dawnbloom Guide tidak pernah menjadi alasan untuk meminta kata sandi obrolan pribadi atau pembayaran. Dawnbloom Guide tidak melewati pemeriksaan formal untuk akun, aset, banding, atau data internal.</w:t>
      </w:r>
    </w:p>
    <w:p>
      <w:pPr>
        <w:pStyle w:val="ListBullet"/>
        <w:keepLines w:val="0"/>
      </w:pPr>
      <w:r>
        <w:rPr>
          <w:rFonts w:ascii="Noto Sans" w:hAnsi="Noto Sans" w:eastAsia="Arial Unicode MS" w:cs="Noto Sans"/>
          <w:b w:val="0"/>
        </w:rPr>
        <w:t>Tidak akan pernah meminta kata sandi akun game Anda, kata sandi Apple ID, kata sandi Steam, kata sandi pembayaran WeChat/Alipay, atau kata sandi kartu bank Anda.</w:t>
      </w:r>
    </w:p>
    <w:p>
      <w:pPr>
        <w:pStyle w:val="ListBullet"/>
        <w:keepLines w:val="0"/>
      </w:pPr>
      <w:r>
        <w:rPr>
          <w:rFonts w:ascii="Noto Sans" w:hAnsi="Noto Sans" w:eastAsia="Arial Unicode MS" w:cs="Noto Sans"/>
          <w:b w:val="0"/>
        </w:rPr>
        <w:t>Tidak akan pernah meminta kode verifikasi SMS, kode verifikasi email, kode autentikasi dua faktor, kunci dinamis Lightseeker Token (jika diaktifkan), atau kode keamanan satu kali lainnya.</w:t>
      </w:r>
    </w:p>
    <w:p>
      <w:pPr>
        <w:pStyle w:val="ListBullet"/>
        <w:keepLines w:val="0"/>
      </w:pPr>
      <w:r>
        <w:rPr>
          <w:rFonts w:ascii="Noto Sans" w:hAnsi="Noto Sans" w:eastAsia="Arial Unicode MS" w:cs="Noto Sans"/>
          <w:b w:val="0"/>
        </w:rPr>
        <w:t>Tidak akan pernah meminta Anda untuk mengaktifkan berbagi layar, kontrol jarak jauh, atau menginstal perangkat lunak bantuan jarak jauh yang tidak dikenal, APK, file deskripsi, ekstensi browser, atau apa yang disebut "plugin keamanan."</w:t>
      </w:r>
    </w:p>
    <w:p>
      <w:pPr>
        <w:pStyle w:val="ListBullet"/>
        <w:keepLines w:val="0"/>
      </w:pPr>
      <w:r>
        <w:rPr>
          <w:rFonts w:ascii="Noto Sans" w:hAnsi="Noto Sans" w:eastAsia="Arial Unicode MS" w:cs="Noto Sans"/>
          <w:b w:val="0"/>
        </w:rPr>
        <w:t>Kami tidak akan meminta Anda mentransfer Koin Ajaib, Binatang Phantom, peralatan, atau item dalam game ke yang disebut "akun GM," "akun aman," atau "akun verifikasi" untuk validasi.</w:t>
      </w:r>
    </w:p>
    <w:p>
      <w:pPr>
        <w:pStyle w:val="ListBullet"/>
        <w:keepLines w:val="0"/>
      </w:pPr>
      <w:r>
        <w:rPr>
          <w:rFonts w:ascii="Noto Sans" w:hAnsi="Noto Sans" w:eastAsia="Arial Unicode MS" w:cs="Noto Sans"/>
          <w:b w:val="0"/>
        </w:rPr>
        <w:t>Tidak akan pernah meminta Anda untuk membayar melalui WeChat pribadi, Alipay pribadi, kartu bank pribadi, kartu hadiah, alamat cryptocurrency, atau saluran pembayaran non-resmi lainnya.</w:t>
      </w:r>
    </w:p>
    <w:p>
      <w:pPr>
        <w:pStyle w:val="ListBullet"/>
        <w:keepLines w:val="0"/>
      </w:pPr>
      <w:r>
        <w:rPr>
          <w:rFonts w:ascii="Noto Sans" w:hAnsi="Noto Sans" w:eastAsia="Arial Unicode MS" w:cs="Noto Sans"/>
          <w:b w:val="0"/>
        </w:rPr>
        <w:t>Tidak akan pernah meminta pembayaran tambahan dengan dalih seperti "transfer sebelum pengembalian," "bay deposit terlebih dahulu," "biaya pembekuan akun," "biaya pelepasan denda," "biaya verifikasi," atau "biaya penanganan pengumpulan hadiah."</w:t>
      </w:r>
    </w:p>
    <w:p>
      <w:pPr>
        <w:pStyle w:val="ListBullet"/>
        <w:keepLines w:val="0"/>
      </w:pPr>
      <w:r>
        <w:rPr>
          <w:rFonts w:ascii="Noto Sans" w:hAnsi="Noto Sans" w:eastAsia="Arial Unicode MS" w:cs="Noto Sans"/>
          <w:b w:val="0"/>
        </w:rPr>
        <w:t>Tidak akan pernah meminta Anda untuk masuk kembali ke akun game Anda atau memasukkan detail pembayaran lengkap melalui tautan non-resmi.</w:t>
      </w:r>
    </w:p>
    <w:p>
      <w:pPr>
        <w:pStyle w:val="ListBullet"/>
        <w:keepLines w:val="0"/>
      </w:pPr>
      <w:r>
        <w:rPr>
          <w:rFonts w:ascii="Noto Sans" w:hAnsi="Noto Sans" w:eastAsia="Arial Unicode MS" w:cs="Noto Sans"/>
          <w:b w:val="0"/>
        </w:rPr>
        <w:t>Tidak akan pernah menjanjikan modifikasi berbayar pribadi terhadap penalti, peningkatan probabilitas kemenangan, distribusi item langka, atau pengelakan aturan resmi.</w:t>
      </w:r>
    </w:p>
    <w:p>
      <w:pPr>
        <w:pStyle w:val="Heading1"/>
        <w:keepLines w:val="0"/>
      </w:pPr>
      <w:r>
        <w:rPr>
          <w:rFonts w:ascii="Noto Sans" w:hAnsi="Noto Sans" w:eastAsia="Arial Unicode MS" w:cs="Noto Sans"/>
          <w:b w:val="0"/>
        </w:rPr>
        <w:t>Lima. Metode Peniruan Umum</w:t>
      </w:r>
    </w:p>
    <w:p>
      <w:pPr>
        <w:pStyle w:val="ListBullet"/>
        <w:keepLines w:val="0"/>
      </w:pPr>
      <w:r>
        <w:rPr>
          <w:rFonts w:ascii="Noto Sans" w:hAnsi="Noto Sans" w:eastAsia="Arial Unicode MS" w:cs="Noto Sans"/>
          <w:b w:val="0"/>
        </w:rPr>
        <w:t>Menggunakan domain, ejaan, subdomain, atau tautan pendek yang sangat mirip dengan dawnbloom.net untuk memancing pemain masuk ke dalam sistem.</w:t>
      </w:r>
    </w:p>
    <w:p>
      <w:pPr>
        <w:keepLines w:val="0"/>
      </w:pPr>
      <w:r>
        <w:rPr>
          <w:rFonts w:ascii="Noto Sans" w:hAnsi="Noto Sans" w:eastAsia="Arial Unicode MS" w:cs="Noto Sans"/>
          <w:b w:val="0"/>
        </w:rPr>
        <w:t>Situs palsu, daftar toko, file APK atau EXE, pembaruan Browser, klien Berita atau Mail, alat Download atau Archive, halaman Token, dan layanan Panduan DAWNBLOOM dapat meminta kredensial atau menginstal malware. Percayalah pada dawnbloom.net dan toko resmi yang ditautkannya secara eksplisit; Google Drive dan Baidu Netdisk bukan mirror resmi saat ini.</w:t>
      </w:r>
    </w:p>
    <w:p>
      <w:pPr>
        <w:pStyle w:val="ListBullet"/>
        <w:keepLines w:val="0"/>
      </w:pPr>
      <w:r>
        <w:rPr>
          <w:rFonts w:ascii="Noto Sans" w:hAnsi="Noto Sans" w:eastAsia="Arial Unicode MS" w:cs="Noto Sans"/>
          <w:b w:val="0"/>
        </w:rPr>
        <w:t>Menyalin avatar resmi, logo, skrip layanan pelanggan, dan gambar pengumuman untuk membuat akun media sosial, obrolan grup, atau halaman pembayaran dengan ketelitian tinggi.</w:t>
      </w:r>
    </w:p>
    <w:p>
      <w:pPr>
        <w:pStyle w:val="ListBullet"/>
        <w:keepLines w:val="0"/>
      </w:pPr>
      <w:r>
        <w:rPr>
          <w:rFonts w:ascii="Noto Sans" w:hAnsi="Noto Sans" w:eastAsia="Arial Unicode MS" w:cs="Noto Sans"/>
          <w:b w:val="0"/>
        </w:rPr>
        <w:t>Mengatasnamakan GM, layanan pelanggan, administrator, streamer kolaboratif, atau "personel internal", mengklaim adanya risiko akun dan menciptakan rasa urgensi.</w:t>
      </w:r>
    </w:p>
    <w:p>
      <w:pPr>
        <w:pStyle w:val="ListBullet"/>
        <w:keepLines w:val="0"/>
      </w:pPr>
      <w:r>
        <w:rPr>
          <w:rFonts w:ascii="Noto Sans" w:hAnsi="Noto Sans" w:eastAsia="Arial Unicode MS" w:cs="Noto Sans"/>
          <w:b w:val="0"/>
        </w:rPr>
        <w:t>Menggunakan umpan penawaran seperti "koin magis gratis", "binatang phantom langka", "hadiah yang dimenangkan", "kesesuaian pengujian", "kompensasi pengembalian dana", atau "kit hadiah internal" untuk mengirimkan kode QR atau tautan.</w:t>
      </w:r>
    </w:p>
    <w:p>
      <w:pPr>
        <w:pStyle w:val="ListBullet"/>
        <w:keepLines w:val="0"/>
      </w:pPr>
      <w:r>
        <w:rPr>
          <w:rFonts w:ascii="Noto Sans" w:hAnsi="Noto Sans" w:eastAsia="Arial Unicode MS" w:cs="Noto Sans"/>
          <w:b w:val="0"/>
        </w:rPr>
        <w:t>Mengatasnamakan layanan pelanggan dan proaktif menambahkan Anda sebagai teman, meminta kode verifikasi, tangkapan layar aset, berbagi layar, atau transfer.</w:t>
      </w:r>
    </w:p>
    <w:p>
      <w:pPr>
        <w:pStyle w:val="ListBullet"/>
        <w:keepLines w:val="0"/>
      </w:pPr>
      <w:r>
        <w:rPr>
          <w:rFonts w:ascii="Noto Sans" w:hAnsi="Noto Sans" w:eastAsia="Arial Unicode MS" w:cs="Noto Sans"/>
          <w:b w:val="0"/>
        </w:rPr>
        <w:t>Menggunakan akun teman yang dicuri untuk mengirim tautan atau file, membuat sumbernya tampak sah.</w:t>
      </w:r>
    </w:p>
    <w:p>
      <w:pPr>
        <w:pStyle w:val="Heading1"/>
        <w:keepLines w:val="0"/>
      </w:pPr>
      <w:r>
        <w:rPr>
          <w:rFonts w:ascii="Noto Sans" w:hAnsi="Noto Sans" w:eastAsia="Arial Unicode MS" w:cs="Noto Sans"/>
          <w:b w:val="0"/>
        </w:rPr>
        <w:t>Bagian Enam: Keamanan Pembayaran dan Mal</w:t>
      </w:r>
    </w:p>
    <w:p>
      <w:pPr>
        <w:keepLines w:val="0"/>
      </w:pPr>
      <w:r>
        <w:rPr>
          <w:rFonts w:ascii="Noto Sans" w:hAnsi="Noto Sans" w:eastAsia="Arial Unicode MS" w:cs="Noto Sans"/>
          <w:b w:val="0"/>
        </w:rPr>
        <w:t>Semua barang digital resmi, peti, dan konten lainnya di dalam toko akan diatur oleh tampilan di situs web resmi dan titik masuk in-game resmi. Pemain harus menyelesaikan pembayaran melalui situs web resmi atau melalui aplikasi/toko pembayaran pihak ketiga yang terdaftar secara resmi.</w:t>
      </w:r>
    </w:p>
    <w:p>
      <w:pPr>
        <w:keepLines w:val="0"/>
      </w:pPr>
      <w:r>
        <w:rPr>
          <w:rFonts w:ascii="Noto Sans" w:hAnsi="Noto Sans" w:eastAsia="Arial Unicode MS" w:cs="Noto Sans"/>
          <w:b w:val="0"/>
        </w:rPr>
        <w:t xml:space="preserve">Jika halaman pesanan, penerima pembayaran, jumlah, domain, atau URL redirect berbeda secara signifikan dari yang diumumkan secara publik di situs web resmi, hentikan semua transaksi dan verifikasi melalui </w:t>
      </w:r>
      <w:hyperlink r:id="rId18">
        <w:r>
          <w:rPr>
            <w:rFonts w:ascii="Noto Sans" w:hAnsi="Noto Sans" w:eastAsia="Arial Unicode MS"/>
            <w:b w:val="0"/>
          </w:rPr>
          <w:t xml:space="preserve">billing@dawnbloom.net</w:t>
        </w:r>
      </w:hyperlink>
      <w:r>
        <w:rPr>
          <w:rFonts w:ascii="Noto Sans" w:hAnsi="Noto Sans" w:eastAsia="Arial Unicode MS" w:cs="Noto Sans"/>
          <w:b w:val="0"/>
        </w:rPr>
        <w:t xml:space="preserve"> atau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 Pembayaran pribadi offline atau layanan "pengisian dalam game" pribadi apa pun tidak dianggap sebagai transaksi resmi.</w:t>
      </w:r>
    </w:p>
    <w:p>
      <w:pPr>
        <w:pStyle w:val="Heading1"/>
        <w:keepLines w:val="0"/>
      </w:pPr>
      <w:r>
        <w:rPr>
          <w:rFonts w:ascii="Noto Sans" w:hAnsi="Noto Sans" w:eastAsia="Arial Unicode MS" w:cs="Noto Sans"/>
          <w:b w:val="0"/>
        </w:rPr>
        <w:t>Bagian Tujuh: Apa yang Harus Dilakukan Saat Menerima Pesan Mencurigakan</w:t>
      </w:r>
    </w:p>
    <w:p>
      <w:pPr>
        <w:pStyle w:val="ListBullet"/>
        <w:keepLines w:val="0"/>
      </w:pPr>
      <w:r>
        <w:rPr>
          <w:rFonts w:ascii="Noto Sans" w:hAnsi="Noto Sans" w:eastAsia="Arial Unicode MS" w:cs="Noto Sans"/>
          <w:b w:val="0"/>
        </w:rPr>
        <w:t>Jangan lanjutkan: Jangan klik tautan, pindai kode QR, unduh file, masukkan informasi akun, atau lakukan pembayaran.</w:t>
      </w:r>
    </w:p>
    <w:p>
      <w:pPr>
        <w:pStyle w:val="ListBullet"/>
        <w:keepLines w:val="0"/>
      </w:pPr>
      <w:r>
        <w:rPr>
          <w:rFonts w:ascii="Noto Sans" w:hAnsi="Noto Sans" w:eastAsia="Arial Unicode MS" w:cs="Noto Sans"/>
          <w:b w:val="0"/>
        </w:rPr>
        <w:t>Simpan bukti: Simpan halaman utama akun Anda, catatan chat, tautan, kode QR, halaman transfer, nomor pesanan, dan stempel waktu.</w:t>
      </w:r>
    </w:p>
    <w:p>
      <w:pPr>
        <w:pStyle w:val="ListBullet"/>
        <w:keepLines w:val="0"/>
      </w:pPr>
      <w:r>
        <w:rPr>
          <w:rFonts w:ascii="Noto Sans" w:hAnsi="Noto Sans" w:eastAsia="Arial Unicode MS" w:cs="Noto Sans"/>
          <w:b w:val="0"/>
        </w:rPr>
        <w:t>Ketik alamat situs utama sendiri dan gunakan navigasinya ke Pusat Pemain, Dukungan atau Unduhan. Jangan mengandalkan label tautan orang asing. Masuk melalui Pusat Pemain situs utama; buka pemulihan dan kontrol sensitif dari Manajemen Akun Dukungan. Gunakan toko, isi ulang, dan tagihan di situs utama untuk pembayaran dan pesanan, memeriksa ketersediaan aktual dan platform pembayaran apa pun di halaman tersebut.</w:t>
      </w:r>
    </w:p>
    <w:p>
      <w:pPr>
        <w:pStyle w:val="ListBullet"/>
        <w:keepLines w:val="0"/>
      </w:pPr>
      <w:r>
        <w:rPr>
          <w:rFonts w:ascii="Noto Sans" w:hAnsi="Noto Sans" w:eastAsia="Arial Unicode MS" w:cs="Noto Sans"/>
          <w:b w:val="0"/>
        </w:rPr>
        <w:t>Jika informasi akun sudah dimasukkan: segera ubah kata sandi Anda, keluar dari semua sesi aktif lainnya, dan verifikasi keamanan email, Apple, Steam, WeChat, dan akun pihak ketiga terkait.</w:t>
      </w:r>
    </w:p>
    <w:p>
      <w:pPr>
        <w:pStyle w:val="ListBullet"/>
        <w:keepLines w:val="0"/>
      </w:pPr>
      <w:r>
        <w:rPr>
          <w:rFonts w:ascii="Noto Sans" w:hAnsi="Noto Sans" w:eastAsia="Arial Unicode MS" w:cs="Noto Sans"/>
          <w:b w:val="0"/>
        </w:rPr>
        <w:t>Jika pembayaran telah dilakukan: segera hubungi platform pembayaran, bank penerbit, atau lembaga keuangan terkait untuk meminta pembatalan pembayaran, banding, atau pembekuan; dalam kasus yang melibatkan jumlah besar atau aktivitas kriminal yang dicurigai, laporkan kejadian tersebut kepada otoritas polisi setempat segera.</w:t>
      </w:r>
    </w:p>
    <w:p>
      <w:pPr>
        <w:pStyle w:val="ListBullet"/>
        <w:keepLines w:val="0"/>
      </w:pPr>
      <w:r>
        <w:rPr>
          <w:rFonts w:ascii="Noto Sans" w:hAnsi="Noto Sans" w:eastAsia="Arial Unicode MS" w:cs="Noto Sans"/>
          <w:b w:val="0"/>
        </w:rPr>
        <w:t>Jika ditemukan akun palsu: laporkan di platform yang bersangkutan dan kirim tautan halaman ke layanan pelanggan resmi untuk verifikasi lebih lanjut dan pengungkapan publik.</w:t>
      </w:r>
    </w:p>
    <w:p>
      <w:pPr>
        <w:pStyle w:val="Heading1"/>
        <w:keepLines w:val="0"/>
      </w:pPr>
      <w:r>
        <w:rPr>
          <w:rFonts w:ascii="Noto Sans" w:hAnsi="Noto Sans" w:eastAsia="Arial Unicode MS" w:cs="Noto Sans"/>
          <w:b w:val="0"/>
        </w:rPr>
        <w:t>Delapan. Informasi yang dapat diminta oleh pihak resmi untuk verifikasi</w:t>
      </w:r>
    </w:p>
    <w:p>
      <w:pPr>
        <w:keepLines w:val="0"/>
      </w:pPr>
      <w:r>
        <w:rPr>
          <w:rFonts w:ascii="Noto Sans" w:hAnsi="Noto Sans" w:eastAsia="Arial Unicode MS" w:cs="Noto Sans"/>
          <w:b w:val="0"/>
        </w:rPr>
        <w:t>Untuk menangani masalah terkait akun, pesanan, pencurian akun, transaksi tidak normal, atau sengketa layanan pelanggan, pihak resmi mungkin meminta Anda memberikan informasi verifikasi yang diperlukan, seperti: nama akun, nama karakter/ID karakter, nomor pesanan, waktu kejadian, detail perangkat atau login, tangkapan layar dalam game, tangkapan layar obrolan terkait, dan informasi kontak yang Anda aktifkan.</w:t>
      </w:r>
    </w:p>
    <w:p>
      <w:pPr>
        <w:keepLines w:val="0"/>
      </w:pPr>
      <w:r>
        <w:rPr>
          <w:rFonts w:ascii="Noto Sans" w:hAnsi="Noto Sans" w:eastAsia="Arial Unicode MS" w:cs="Noto Sans"/>
          <w:b w:val="0"/>
        </w:rPr>
        <w:t>Kami mematuhi prinsip data seminimal mungkin yang diperlukan, dan tidak akan meminta kredensial berisiko tinggi apa pun yang tidak terkait dengan masalah tersebut. Khususnya, kami tidak akan pernah meminta kata sandi akun, kata sandi pembayaran, atau kode verifikasi satu kali Anda.</w:t>
      </w:r>
    </w:p>
    <w:p>
      <w:pPr>
        <w:pStyle w:val="Heading1"/>
        <w:keepLines w:val="0"/>
      </w:pPr>
      <w:r>
        <w:rPr>
          <w:rFonts w:ascii="Noto Sans" w:hAnsi="Noto Sans" w:eastAsia="Arial Unicode MS" w:cs="Noto Sans"/>
          <w:b w:val="0"/>
        </w:rPr>
        <w:t>Sembilan. Prioritas Komunikasi Resmi</w:t>
      </w:r>
    </w:p>
    <w:p>
      <w:pPr>
        <w:keepLines w:val="0"/>
      </w:pPr>
      <w:r>
        <w:rPr>
          <w:rFonts w:ascii="Noto Sans" w:hAnsi="Noto Sans" w:eastAsia="Arial Unicode MS" w:cs="Noto Sans"/>
          <w:b w:val="0"/>
        </w:rPr>
        <w:t>Ketika terdapat ketidaksesuaian antara informasi yang disebarkan melalui berbagai platform sosial, cerita ulang pemain, tangkapan layar obrolan grup, atau situs web pihak ketiga, pengumuman resmi di dawnbloom.net, dokumen hukum yang sesuai, dan pemberitahuan resmi dalam game akan menjadi prioritas. Pernyataan individu oleh pemain, streamer, administrator grup, relawan, mitra, atau anggota komunitas tidak merupakan representasi resmi dari posisi DAWNBLOOM(DAWNBLOOM).</w:t>
      </w:r>
    </w:p>
    <w:p>
      <w:pPr>
        <w:pStyle w:val="Heading1"/>
        <w:keepLines w:val="0"/>
      </w:pPr>
      <w:r>
        <w:rPr>
          <w:rFonts w:ascii="Noto Sans" w:hAnsi="Noto Sans" w:eastAsia="Arial Unicode MS" w:cs="Noto Sans"/>
          <w:b w:val="0"/>
        </w:rPr>
        <w:t>Sepuluh. Kartu Identifikasi Cepat Anti-Penipuan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Jika orang tersebut mengatakan hal berikut:</w:t>
            </w:r>
          </w:p>
        </w:tc>
        <w:tc>
          <w:tcPr>
            <w:tcW w:type="dxa" w:w="4873"/>
            <w:vAlign w:val="center"/>
            <w:shd w:fill="DCE8F7"/>
          </w:tcPr>
          <w:p>
            <w:pPr>
              <w:keepNext/>
              <w:spacing w:after="40"/>
            </w:pPr>
            <w:r>
              <w:rPr>
                <w:rFonts w:ascii="Noto Sans" w:hAnsi="Noto Sans" w:eastAsia="Arial Unicode MS" w:cs="Noto Sans"/>
                <w:b/>
                <w:sz w:val="17"/>
              </w:rPr>
              <w:t>Respons pertama Anda haruslah:</w:t>
            </w:r>
          </w:p>
        </w:tc>
      </w:tr>
      <w:tr>
        <w:trPr>
          <w:cantSplit/>
        </w:trPr>
        <w:tc>
          <w:tcPr>
            <w:tcW w:type="dxa" w:w="4873"/>
            <w:vAlign w:val="center"/>
          </w:tcPr>
          <w:p>
            <w:pPr>
              <w:spacing w:after="40"/>
            </w:pPr>
            <w:r>
              <w:rPr>
                <w:rFonts w:ascii="Noto Sans" w:hAnsi="Noto Sans" w:eastAsia="Arial Unicode MS" w:cs="Noto Sans"/>
                <w:sz w:val="17"/>
              </w:rPr>
              <w:t>"Anomali akun—kirimkan kode verifikasi saya."</w:t>
            </w:r>
          </w:p>
        </w:tc>
        <w:tc>
          <w:tcPr>
            <w:tcW w:type="dxa" w:w="4873"/>
            <w:vAlign w:val="center"/>
          </w:tcPr>
          <w:p>
            <w:pPr>
              <w:spacing w:after="40"/>
            </w:pPr>
            <w:r>
              <w:rPr>
                <w:rFonts w:ascii="Noto Sans" w:hAnsi="Noto Sans" w:eastAsia="Arial Unicode MS" w:cs="Noto Sans"/>
                <w:sz w:val="17"/>
              </w:rPr>
              <w:t>Jangan kirim. Saluran resmi tidak akan pernah meminta kode verifikasi satu kali.</w:t>
            </w:r>
          </w:p>
        </w:tc>
      </w:tr>
      <w:tr>
        <w:trPr>
          <w:cantSplit/>
        </w:trPr>
        <w:tc>
          <w:tcPr>
            <w:tcW w:type="dxa" w:w="4873"/>
            <w:vAlign w:val="center"/>
          </w:tcPr>
          <w:p>
            <w:pPr>
              <w:spacing w:after="40"/>
            </w:pPr>
            <w:r>
              <w:rPr>
                <w:rFonts w:ascii="Noto Sans" w:hAnsi="Noto Sans" w:eastAsia="Arial Unicode MS" w:cs="Noto Sans"/>
                <w:sz w:val="17"/>
              </w:rPr>
              <w:t>"Transfer dana terlebih dahulu; setelah pengembalian dana, kami akan mengembalikan uang bersama-sama."</w:t>
            </w:r>
          </w:p>
        </w:tc>
        <w:tc>
          <w:tcPr>
            <w:tcW w:type="dxa" w:w="4873"/>
            <w:vAlign w:val="center"/>
          </w:tcPr>
          <w:p>
            <w:pPr>
              <w:spacing w:after="40"/>
            </w:pPr>
            <w:r>
              <w:rPr>
                <w:rFonts w:ascii="Noto Sans" w:hAnsi="Noto Sans" w:eastAsia="Arial Unicode MS" w:cs="Noto Sans"/>
                <w:sz w:val="17"/>
              </w:rPr>
              <w:t>Jangan bayar. Pengembalian dana resmi tidak akan pernah meminta Anda mentransfer uang ke rekening pribadi terlebih dahulu.</w:t>
            </w:r>
          </w:p>
        </w:tc>
      </w:tr>
      <w:tr>
        <w:trPr>
          <w:cantSplit/>
        </w:trPr>
        <w:tc>
          <w:tcPr>
            <w:tcW w:type="dxa" w:w="4873"/>
            <w:vAlign w:val="center"/>
          </w:tcPr>
          <w:p>
            <w:pPr>
              <w:spacing w:after="40"/>
            </w:pPr>
            <w:r>
              <w:rPr>
                <w:rFonts w:ascii="Noto Sans" w:hAnsi="Noto Sans" w:eastAsia="Arial Unicode MS" w:cs="Noto Sans"/>
                <w:sz w:val="17"/>
              </w:rPr>
              <w:t>"Transfer hewan phantom atau peralatan Anda ke akun aman untuk inspeksi."</w:t>
            </w:r>
          </w:p>
        </w:tc>
        <w:tc>
          <w:tcPr>
            <w:tcW w:type="dxa" w:w="4873"/>
            <w:vAlign w:val="center"/>
          </w:tcPr>
          <w:p>
            <w:pPr>
              <w:spacing w:after="40"/>
            </w:pPr>
            <w:r>
              <w:rPr>
                <w:rFonts w:ascii="Noto Sans" w:hAnsi="Noto Sans" w:eastAsia="Arial Unicode MS" w:cs="Noto Sans"/>
                <w:sz w:val="17"/>
              </w:rPr>
              <w:t>Jangan transfer. Saluran resmi tidak akan pernah meminta verifikasi aset melalui akun karakter pemain.</w:t>
            </w:r>
          </w:p>
        </w:tc>
      </w:tr>
      <w:tr>
        <w:trPr>
          <w:cantSplit/>
        </w:trPr>
        <w:tc>
          <w:tcPr>
            <w:tcW w:type="dxa" w:w="4873"/>
            <w:vAlign w:val="center"/>
          </w:tcPr>
          <w:p>
            <w:pPr>
              <w:spacing w:after="40"/>
            </w:pPr>
            <w:r>
              <w:rPr>
                <w:rFonts w:ascii="Noto Sans" w:hAnsi="Noto Sans" w:eastAsia="Arial Unicode MS" w:cs="Noto Sans"/>
                <w:sz w:val="17"/>
              </w:rPr>
              <w:t>"Klik tautan ini untuk masuk dan klaim hadiah Anda."</w:t>
            </w:r>
          </w:p>
        </w:tc>
        <w:tc>
          <w:tcPr>
            <w:tcW w:type="dxa" w:w="4873"/>
            <w:vAlign w:val="center"/>
          </w:tcPr>
          <w:p>
            <w:pPr>
              <w:spacing w:after="40"/>
            </w:pPr>
            <w:r>
              <w:rPr>
                <w:rFonts w:ascii="Noto Sans" w:hAnsi="Noto Sans" w:eastAsia="Arial Unicode MS" w:cs="Noto Sans"/>
                <w:sz w:val="17"/>
              </w:rPr>
              <w:t>Pertama-tama verifikasi bahwa tautan milik dawnbloom.net atau secara eksplisit terdaftar sebagai titik masuk resmi di situs web resmi.</w:t>
            </w:r>
          </w:p>
        </w:tc>
      </w:tr>
      <w:tr>
        <w:trPr>
          <w:cantSplit/>
        </w:trPr>
        <w:tc>
          <w:tcPr>
            <w:tcW w:type="dxa" w:w="4873"/>
            <w:vAlign w:val="center"/>
          </w:tcPr>
          <w:p>
            <w:pPr>
              <w:spacing w:after="40"/>
            </w:pPr>
            <w:r>
              <w:rPr>
                <w:rFonts w:ascii="Noto Sans" w:hAnsi="Noto Sans" w:eastAsia="Arial Unicode MS" w:cs="Noto Sans"/>
                <w:sz w:val="17"/>
              </w:rPr>
              <w:t>"Saya adalah GM; tambahkan kontak pribadi saya untuk penanganan."</w:t>
            </w:r>
          </w:p>
        </w:tc>
        <w:tc>
          <w:tcPr>
            <w:tcW w:type="dxa" w:w="4873"/>
            <w:vAlign w:val="center"/>
          </w:tcPr>
          <w:p>
            <w:pPr>
              <w:spacing w:after="40"/>
            </w:pPr>
            <w:r>
              <w:rPr>
                <w:rFonts w:ascii="Noto Sans" w:hAnsi="Noto Sans" w:eastAsia="Arial Unicode MS" w:cs="Noto Sans"/>
                <w:sz w:val="17"/>
              </w:rPr>
              <w:t>Selalu akses portal layanan pelanggan di situs web resmi terlebih dahulu dan verifikasi identitas orang yang mengklaim sebagai GM.</w:t>
            </w:r>
          </w:p>
        </w:tc>
      </w:tr>
      <w:tr>
        <w:trPr>
          <w:cantSplit/>
        </w:trPr>
        <w:tc>
          <w:tcPr>
            <w:tcW w:type="dxa" w:w="4873"/>
            <w:vAlign w:val="center"/>
          </w:tcPr>
          <w:p>
            <w:pPr>
              <w:spacing w:after="40"/>
            </w:pPr>
            <w:r>
              <w:rPr>
                <w:rFonts w:ascii="Noto Sans" w:hAnsi="Noto Sans" w:eastAsia="Arial Unicode MS" w:cs="Noto Sans"/>
                <w:sz w:val="17"/>
              </w:rPr>
              <w:t>"Kami akan menghukum Anda secara permanen jika kita tidak bertindak segera."</w:t>
            </w:r>
          </w:p>
        </w:tc>
        <w:tc>
          <w:tcPr>
            <w:tcW w:type="dxa" w:w="4873"/>
            <w:vAlign w:val="center"/>
          </w:tcPr>
          <w:p>
            <w:pPr>
              <w:spacing w:after="40"/>
            </w:pPr>
            <w:r>
              <w:rPr>
                <w:rFonts w:ascii="Noto Sans" w:hAnsi="Noto Sans" w:eastAsia="Arial Unicode MS" w:cs="Noto Sans"/>
                <w:sz w:val="17"/>
              </w:rPr>
              <w:t>Jangan terbebani. Segera hentikan segala tindakan dan verifikasi informasi melalui situs web resmi.</w:t>
            </w:r>
          </w:p>
        </w:tc>
      </w:tr>
    </w:tbl>
    <w:p>
      <w:pPr>
        <w:spacing w:after="40"/>
      </w:pPr>
    </w:p>
    <w:p>
      <w:pPr>
        <w:pStyle w:val="Heading1"/>
        <w:keepLines w:val="0"/>
      </w:pPr>
      <w:r>
        <w:rPr>
          <w:rFonts w:ascii="Noto Sans" w:hAnsi="Noto Sans" w:eastAsia="Arial Unicode MS" w:cs="Noto Sans"/>
          <w:b w:val="0"/>
        </w:rPr>
        <w:t>Harap diingat</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Saluran resmi yang sah tidak takut Anda "memverifikasi di situs web resmi terlebih dahulu". Siapa pun yang mendesak Anda untuk melewati situs web resmi, melewati platform, atau melewati proses pembayaran normal harus diperlakukan dengan hati-hati.</w:t>
              <w:br/>
              <w:br/>
              <w:t>Jika Anda ragu apakah pesan itu asli, hentikan semua tindakan dan verifikasi melalui support@dawnbloom.net atau https://dawnbloom.net.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 Id="rId25" Type="http://schemas.openxmlformats.org/officeDocument/2006/relationships/hyperlink" Target="mailto:suppor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Saluran Resmi DAWNBLOOM &amp; Pemberitahuan Anti-Penipuan</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