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Informasi Hukum &amp; Pemberitahuan DAWNBLOOM</w:t>
      </w:r>
    </w:p>
    <w:p>
      <w:pPr>
        <w:keepLines w:val="0"/>
      </w:pPr>
      <w:r>
        <w:rPr>
          <w:rFonts w:ascii="Noto Sans" w:hAnsi="Noto Sans" w:eastAsia="Arial Unicode MS" w:cs="Noto Sans"/>
          <w:b w:val="0"/>
        </w:rPr>
        <w:t>Versi Resmi</w:t>
      </w:r>
    </w:p>
    <w:p>
      <w:pPr>
        <w:keepLines w:val="0"/>
      </w:pPr>
      <w:r>
        <w:rPr>
          <w:rFonts w:ascii="Noto Sans" w:hAnsi="Noto Sans" w:eastAsia="Arial Unicode MS" w:cs="Noto Sans"/>
          <w:b w:val="0"/>
        </w:rPr>
        <w:t>Versi: V8</w:t>
      </w:r>
    </w:p>
    <w:p>
      <w:pPr>
        <w:keepLines w:val="0"/>
      </w:pPr>
      <w:r>
        <w:rPr>
          <w:rFonts w:ascii="Noto Sans" w:hAnsi="Noto Sans" w:eastAsia="Arial Unicode MS" w:cs="Noto Sans"/>
          <w:b w:val="0"/>
        </w:rPr>
        <w:t>Tanggal berlaku: 10 Oktober 2026</w:t>
      </w:r>
    </w:p>
    <w:p>
      <w:pPr>
        <w:keepLines w:val="0"/>
      </w:pPr>
      <w:r>
        <w:rPr>
          <w:rFonts w:ascii="Noto Sans" w:hAnsi="Noto Sans" w:eastAsia="Arial Unicode MS" w:cs="Noto Sans"/>
          <w:b w:val="0"/>
        </w:rPr>
        <w:t>Tanggal pembaruan: 10 Oktober 2026</w:t>
      </w:r>
    </w:p>
    <w:p>
      <w:pPr>
        <w:keepLines w:val="0"/>
      </w:pPr>
      <w:r>
        <w:rPr>
          <w:rFonts w:ascii="Noto Sans" w:hAnsi="Noto Sans" w:eastAsia="Arial Unicode MS" w:cs="Noto Sans"/>
          <w:b w:val="0"/>
        </w:rPr>
        <w:t xml:space="preserve">Situs yang tercakup: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dan subdomain resmi</w:t>
      </w:r>
    </w:p>
    <w:p>
      <w:pPr>
        <w:keepLines w:val="0"/>
      </w:pPr>
      <w:r>
        <w:rPr>
          <w:rFonts w:ascii="Noto Sans" w:hAnsi="Noto Sans" w:eastAsia="Arial Unicode MS" w:cs="Noto Sans"/>
          <w:b w:val="0"/>
        </w:rPr>
        <w:t>Merek yang tercakup: tujuh produk DAWNBLOOM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Lokasi Berkas</w:t>
              <w:br/>
              <w:t>Dokumen ini berfungsi sebagai gerbang hukum resmi di situs web: menyediakan akses publik ke entitas operasional dan saluran resmi, pernyataan hak cipta dan merek dagang, pengidentifikasi pihak ketiga, prosedur pemberitahuan pelanggaran, lisensi terbuka untuk penerbitan ulang, deklarasi perangkat lunak sumber terbuka, penjelasan layanan pemain AI, dan pemberitahuan hukum lainnya. Dokumen terpisah yang khusus mengatur kebijakan privasi, perilaku pemain, penggunaan situs web, keamanan akun, serta masalah penjualan dan pengembalian dana.</w:t>
            </w:r>
          </w:p>
        </w:tc>
      </w:tr>
    </w:tbl>
    <w:p>
      <w:pPr>
        <w:spacing w:after="40"/>
      </w:pPr>
    </w:p>
    <w:p>
      <w:pPr>
        <w:pStyle w:val="Heading1"/>
        <w:keepLines w:val="0"/>
      </w:pPr>
      <w:r>
        <w:rPr>
          <w:rFonts w:ascii="Noto Sans" w:hAnsi="Noto Sans" w:eastAsia="Arial Unicode MS" w:cs="Noto Sans"/>
          <w:b w:val="0"/>
        </w:rPr>
        <w:t>1. Identitas Resmi, Entitas Operasional, dan Akses ke Dokumen Hukum</w:t>
      </w:r>
    </w:p>
    <w:p>
      <w:pPr>
        <w:keepLines w:val="0"/>
      </w:pPr>
      <w:r>
        <w:rPr>
          <w:rFonts w:ascii="Noto Sans" w:hAnsi="Noto Sans" w:eastAsia="Arial Unicode MS" w:cs="Noto Sans"/>
          <w:b w:val="0"/>
        </w:rPr>
        <w:t>DAWNBLOOM dioperasikan oleh 上海追光智创文化传媒有限公司. Tabel mengidentifikasi satu-satunya situs web global dan titik masuk bahasa regionalnya. Titik masuk regional hanya mengarah ke situs utama dan tidak membuat operator, akun, layanan pembayaran atau unduhan, atau basis data terpisah. Operator telah memberikan identitas pendaftaran perusahaan untuk titik masuk Tiongkok. Titik masuk Jepang didaftarkan dengan bantuan; pemegang terdaftar dan otorisasi formal masih perlu diverifikasi. Dokumen ini tidak mengklaim kepemilikan perusahaan atas domain Jepang. Akhiran domain tidak menetapkan hosting Tiongkok Daratan atau pendaftaran ICP maupun korporasi atau cabang Jepang. Situs, grup, toko, dan akun media sosial lainnya hanya resmi ketika secara eksplisit terdaftar oleh situs utama.</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Proyek</w:t>
            </w:r>
          </w:p>
        </w:tc>
        <w:tc>
          <w:tcPr>
            <w:tcW w:type="dxa" w:w="4873"/>
            <w:vAlign w:val="center"/>
            <w:shd w:fill="DCE8F7"/>
          </w:tcPr>
          <w:p>
            <w:pPr>
              <w:keepNext/>
              <w:spacing w:after="40"/>
            </w:pPr>
            <w:r>
              <w:rPr>
                <w:rFonts w:ascii="Noto Sans" w:hAnsi="Noto Sans" w:eastAsia="Arial Unicode MS" w:cs="Noto Sans"/>
                <w:b/>
                <w:sz w:val="17"/>
              </w:rPr>
              <w:t>Informasi Resmi</w:t>
            </w:r>
          </w:p>
        </w:tc>
      </w:tr>
      <w:tr>
        <w:trPr>
          <w:cantSplit/>
        </w:trPr>
        <w:tc>
          <w:tcPr>
            <w:tcW w:type="dxa" w:w="4873"/>
            <w:vAlign w:val="center"/>
          </w:tcPr>
          <w:p>
            <w:pPr>
              <w:spacing w:after="40"/>
            </w:pPr>
            <w:r>
              <w:rPr>
                <w:rFonts w:ascii="Noto Sans" w:hAnsi="Noto Sans" w:eastAsia="Arial Unicode MS" w:cs="Noto Sans"/>
                <w:sz w:val="17"/>
              </w:rPr>
              <w:t>Operator / Penyedia Layanan Situs Web</w:t>
            </w:r>
          </w:p>
        </w:tc>
        <w:tc>
          <w:tcPr>
            <w:tcW w:type="dxa" w:w="4873"/>
            <w:vAlign w:val="center"/>
          </w:tcPr>
          <w:p>
            <w:pPr>
              <w:spacing w:after="40"/>
            </w:pPr>
            <w:r>
              <w:rPr>
                <w:rFonts w:ascii="Noto Sans" w:hAnsi="Noto Sans" w:eastAsia="Arial Unicode MS" w:cs="Noto Sans"/>
                <w:sz w:val="17"/>
              </w:rPr>
              <w:t>上海追光智创文化传媒有限公司 (Nama publik berbahasa Inggris: SHANGHAI LUMIREALM CREATIVE MEDIA CO., LTD.)</w:t>
            </w:r>
          </w:p>
        </w:tc>
      </w:tr>
      <w:tr>
        <w:trPr>
          <w:cantSplit/>
        </w:trPr>
        <w:tc>
          <w:tcPr>
            <w:tcW w:type="dxa" w:w="4873"/>
            <w:vAlign w:val="center"/>
          </w:tcPr>
          <w:p>
            <w:pPr>
              <w:spacing w:after="40"/>
            </w:pPr>
            <w:r>
              <w:rPr>
                <w:rFonts w:ascii="Noto Sans" w:hAnsi="Noto Sans" w:eastAsia="Arial Unicode MS" w:cs="Noto Sans"/>
                <w:sz w:val="17"/>
              </w:rPr>
              <w:t>Satu-satunya Situs Web Global</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Titik Masuk Bahasa Tiongkok</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Titik Masuk Bahasa Jepang</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(tersedia; HTTPS 301)</w:t>
            </w:r>
          </w:p>
        </w:tc>
      </w:tr>
      <w:tr>
        <w:trPr>
          <w:cantSplit/>
        </w:trPr>
        <w:tc>
          <w:tcPr>
            <w:tcW w:type="dxa" w:w="4873"/>
            <w:vAlign w:val="center"/>
          </w:tcPr>
          <w:p>
            <w:pPr>
              <w:spacing w:after="40"/>
            </w:pPr>
            <w:r>
              <w:rPr>
                <w:rFonts w:ascii="Noto Sans" w:hAnsi="Noto Sans" w:eastAsia="Arial Unicode MS" w:cs="Noto Sans"/>
                <w:sz w:val="17"/>
              </w:rPr>
              <w:t>Titik Masuk Bahasa Korea Resmi</w:t>
            </w:r>
          </w:p>
        </w:tc>
        <w:tc>
          <w:tcPr>
            <w:tcW w:type="dxa" w:w="4873"/>
            <w:vAlign w:val="center"/>
          </w:tcPr>
          <w:p>
            <w:pPr>
              <w:spacing w:after="40"/>
            </w:pPr>
            <w:r>
              <w:rPr>
                <w:rFonts w:ascii="Noto Sans" w:hAnsi="Noto Sans" w:eastAsia="Arial Unicode MS" w:cs="Noto Sans"/>
                <w:sz w:val="17"/>
              </w:rPr>
              <w:t xml:space="preserve">Entri bahasa Korea resmi dawnbloom.kr dan www.dawnbloom.kr menggunakan redirect HTTPS 301 ke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Perubahan DNS mungkin memerlukan waktu untuk disebarkan. Mereka menggunakan situs web terpadu dan tidak membuat situs web terpisah, akun, basis data, atau server game Korea.</w:t>
            </w:r>
          </w:p>
        </w:tc>
      </w:tr>
      <w:tr>
        <w:trPr>
          <w:cantSplit/>
        </w:trPr>
        <w:tc>
          <w:tcPr>
            <w:tcW w:type="dxa" w:w="4873"/>
            <w:vAlign w:val="center"/>
          </w:tcPr>
          <w:p>
            <w:pPr>
              <w:spacing w:after="40"/>
            </w:pPr>
            <w:r>
              <w:rPr>
                <w:rFonts w:ascii="Noto Sans" w:hAnsi="Noto Sans" w:eastAsia="Arial Unicode MS" w:cs="Noto Sans"/>
                <w:sz w:val="17"/>
              </w:rPr>
              <w:t>Layanan pelanggan umum</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Kontak hukum/hak cipta</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Pelaporan kerentanan keamanan</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Alamat operasi / alamat kontak hukum</w:t>
            </w:r>
          </w:p>
        </w:tc>
        <w:tc>
          <w:tcPr>
            <w:tcW w:type="dxa" w:w="4873"/>
            <w:vAlign w:val="center"/>
          </w:tcPr>
          <w:p>
            <w:pPr>
              <w:spacing w:after="40"/>
            </w:pPr>
            <w:r>
              <w:rPr>
                <w:rFonts w:ascii="Noto Sans" w:hAnsi="Noto Sans" w:eastAsia="Arial Unicode MS" w:cs="Noto Sans"/>
                <w:sz w:val="17"/>
              </w:rPr>
              <w:t>Kamar 218, Gedung 3, No. 336 Jalan Tianjiao, Area Khusus Lin-gang, Zona Perdagangan Bebas Piloting Tiongkok (Shanghai), Tiongkok</w:t>
            </w:r>
          </w:p>
        </w:tc>
      </w:tr>
    </w:tbl>
    <w:p>
      <w:pPr>
        <w:spacing w:after="40"/>
      </w:pPr>
    </w:p>
    <w:p>
      <w:pPr>
        <w:keepLines w:val="0"/>
      </w:pPr>
      <w:r>
        <w:rPr>
          <w:rFonts w:ascii="Noto Sans" w:hAnsi="Noto Sans" w:eastAsia="Arial Unicode MS" w:cs="Noto Sans"/>
          <w:b w:val="0"/>
        </w:rPr>
        <w:t>Indeks hukum situs resmi mencantumkan secara terpusat Kebijakan Privasi DAWNBLOOM V8 terpadu (mencakup game, enam aplikasi, situs resmi, akun, komunitas, dan layanan pelanggan), Ketentuan Penggunaan Produk dan Layanan DAWNBLOOM, Ketentuan Layanan DAWNBLOOM Browser, Pedoman Pemain dan Aturan Sanksi Pelanggaran, Ketentuan Penjualan dan Pengembalian Dana, Kebijakan Cookie dan Teknologi Serupa, Panduan Karya Turunan dan Konten Penggemar, Pengumuman Saluran Resmi dan Antipenipuan, serta dokumen ini. Cakupan spesifik, versi, dan penjelasan tingkat produk mengacu pada halaman resmi terkait; ketentuan khusus browser tidak menerapkan aturan game pada penelusuran biasa.</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Pengingat Anti-Penipuan: DAWNBLOOM resmi, Roh Dawn, dan stafnya tidak akan pernah meminta kata sandi akun Anda, kata sandi pembayaran, detail kartu bank lengkap, atau kode verifikasi satu kali lengkap melalui pesan pribadi. Jika Anda bertemu seseorang yang mengklaim sebagai "GM", "layanan pelanggan", atau "perwakilan resmi" yang meminta Anda mentransfer uang secara pribadi, menginstal perangkat lunak yang tidak diverifikasi, berbagi layar, atau memberikan kata sandi atau kode verifikasi lengkap, hentikan semua tindakan segera dan verifikasi permintaan tersebut melalui situs web resmi atau saluran layanan pelanggan resmi.</w:t>
            </w:r>
          </w:p>
        </w:tc>
      </w:tr>
    </w:tbl>
    <w:p>
      <w:pPr>
        <w:spacing w:after="40"/>
      </w:pPr>
    </w:p>
    <w:p>
      <w:pPr>
        <w:pStyle w:val="Heading1"/>
        <w:keepLines w:val="0"/>
      </w:pPr>
      <w:r>
        <w:rPr>
          <w:rFonts w:ascii="Noto Sans" w:hAnsi="Noto Sans" w:eastAsia="Arial Unicode MS" w:cs="Noto Sans"/>
          <w:b w:val="0"/>
        </w:rPr>
        <w:t>2. Kekayaan Intelektual dan Identitas Merek DAWNBLOOM</w:t>
      </w:r>
    </w:p>
    <w:p>
      <w:pPr>
        <w:keepLines w:val="0"/>
      </w:pPr>
      <w:r>
        <w:rPr>
          <w:rFonts w:ascii="Noto Sans" w:hAnsi="Noto Sans" w:eastAsia="Arial Unicode MS" w:cs="Noto Sans"/>
          <w:b w:val="0"/>
        </w:rPr>
        <w:t>Kecuali jika ditandai secara eksplisit berbeda atau dimiliki oleh pihak ketiga, konten DAWNBLOOM dan situs web resminya, aplikasi klien, dan saluran promosi—termasuk nama game, logo, karakter, Phantom Beasts, peta, dunia permainan, alur cerita, teks, karya seni, antarmuka, ikon, animasi, musik, efek suara, video, desain visual situs web, kode perangkat lunak, struktur basis data, dan elemen orisinal dan kreatif lainnya—dilindungi oleh hak cipta, hukum merek dagang, Undang-Undang Pencegahan Persaingan Tidak Sehat, dan undang-undang lain yang berlaku.</w:t>
      </w:r>
    </w:p>
    <w:p>
      <w:pPr>
        <w:keepLines w:val="0"/>
      </w:pPr>
      <w:r>
        <w:rPr>
          <w:rFonts w:ascii="Noto Sans" w:hAnsi="Noto Sans" w:eastAsia="Arial Unicode MS" w:cs="Noto Sans"/>
          <w:b w:val="0"/>
        </w:rPr>
        <w:t>Materi milik DAWNBLOOM juga mencakup nama keenam aplikasi, ikon, antarmuka, desain klien, halaman produk, tangkapan layar yang dipublikasikan, dan kode. Laporan berita, situs web yang dikunjungi di Browser, email pengguna, dan konten penyedia email tidak menjadi milik DAWNBLOOM hanya karena sebuah aplikasi menampilkannya.</w:t>
      </w:r>
    </w:p>
    <w:p>
      <w:pPr>
        <w:keepLines w:val="0"/>
      </w:pPr>
      <w:r>
        <w:rPr>
          <w:rFonts w:ascii="Noto Sans" w:hAnsi="Noto Sans" w:eastAsia="Arial Unicode MS" w:cs="Noto Sans"/>
          <w:b w:val="0"/>
        </w:rPr>
        <w:t>"DAWNBLOOM" dan tanda grafis terkait berfungsi sebagai pengenal merek resmi proyek. Pendaftaran merek dagang, registrasi, dan cakupan perlindungan tunduk pada persetujuan akhir dan barang/jasa yang ditunjuk oleh otoritas administrasi kekayaan intelektual nasional. Simbol merek dagang terdaftar (®) dan penunjukan serupa harus digunakan semata-mata ketika merek dagang telah disetujui dan didaftarkan secara hukum, dan digunakan dalam cakupan yang ditunjuk secara resmi; setiap tanda yang sedang dalam proses pendaftaran, pemeriksaan, atau menunggu persetujuan akhir tidak boleh dipromosikan dengan cara yang dapat menyesatkan publik mengenai kepemilikan hak eksklusif merek dagang.</w:t>
      </w:r>
    </w:p>
    <w:p>
      <w:pPr>
        <w:keepLines w:val="0"/>
      </w:pPr>
      <w:r>
        <w:rPr>
          <w:rFonts w:ascii="Noto Sans" w:hAnsi="Noto Sans" w:eastAsia="Arial Unicode MS" w:cs="Noto Sans"/>
          <w:b w:val="0"/>
        </w:rPr>
        <w:t>Pernyataan hak dalam dokumen ini tidak memperluas hak eksklusif yang diberikan oleh hukum, dan juga tidak membatasi penggunaan yang sah dan wajar seperti kutipan, komentar, pelaporan berita, atau penggunaan lain yang tidak memerlukan izin terpisah.</w:t>
      </w:r>
    </w:p>
    <w:p>
      <w:pPr>
        <w:pStyle w:val="Heading1"/>
        <w:keepLines w:val="0"/>
      </w:pPr>
      <w:r>
        <w:rPr>
          <w:rFonts w:ascii="Noto Sans" w:hAnsi="Noto Sans" w:eastAsia="Arial Unicode MS" w:cs="Noto Sans"/>
          <w:b w:val="0"/>
        </w:rPr>
        <w:t>3. Lisensi Redistribusi Gratis untuk Konten Publik Resmi</w:t>
      </w:r>
    </w:p>
    <w:p>
      <w:pPr>
        <w:keepLines w:val="0"/>
      </w:pPr>
      <w:r>
        <w:rPr>
          <w:rFonts w:ascii="Noto Sans" w:hAnsi="Noto Sans" w:eastAsia="Arial Unicode MS" w:cs="Noto Sans"/>
          <w:b w:val="0"/>
        </w:rPr>
        <w:t>DAWNBLOOM menyambut pemain, media, streamer, komunitas, dan pembuat konten untuk menyebarkan informasi game yang tersedia secara publik. Untuk konten yang telah dirilis secara resmi melalui situs web resmi, platform komunitas resmi, atau akun media sosial resmi, dan yang tidak menentukan batasan penggunaan lainnya, operator dengan ini memberikan lisensi global, non-eksklusif, bebas royalti untuk penerbitan ulang dan berbagi, tanpa perlu persetujuan sebelumnya:</w:t>
      </w:r>
    </w:p>
    <w:p>
      <w:pPr>
        <w:pStyle w:val="ListBullet"/>
        <w:keepLines w:val="0"/>
      </w:pPr>
      <w:r>
        <w:rPr>
          <w:rFonts w:ascii="Noto Sans" w:hAnsi="Noto Sans" w:eastAsia="Arial Unicode MS" w:cs="Noto Sans"/>
          <w:b w:val="0"/>
        </w:rPr>
        <w:t>Berita resmi, pengumuman, catatan pembaruan versi, dan informasi acara publik;</w:t>
      </w:r>
    </w:p>
    <w:p>
      <w:pPr>
        <w:pStyle w:val="ListBullet"/>
        <w:keepLines w:val="0"/>
      </w:pPr>
      <w:r>
        <w:rPr>
          <w:rFonts w:ascii="Noto Sans" w:hAnsi="Noto Sans" w:eastAsia="Arial Unicode MS" w:cs="Noto Sans"/>
          <w:b w:val="0"/>
        </w:rPr>
        <w:t>Panduan publik resmi, FAQ, dan penjelasan aturan yang terlihat oleh pemain;</w:t>
      </w:r>
    </w:p>
    <w:p>
      <w:pPr>
        <w:pStyle w:val="ListBullet"/>
        <w:keepLines w:val="0"/>
      </w:pPr>
      <w:r>
        <w:rPr>
          <w:rFonts w:ascii="Noto Sans" w:hAnsi="Noto Sans" w:eastAsia="Arial Unicode MS" w:cs="Noto Sans"/>
          <w:b w:val="0"/>
        </w:rPr>
        <w:t>Screenshot promosi resmi, poster, spanduk, dan materi media sosial yang digunakan untuk penyebaran publik;</w:t>
      </w:r>
    </w:p>
    <w:p>
      <w:pPr>
        <w:pStyle w:val="ListBullet"/>
        <w:keepLines w:val="0"/>
      </w:pPr>
      <w:r>
        <w:rPr>
          <w:rFonts w:ascii="Noto Sans" w:hAnsi="Noto Sans" w:eastAsia="Arial Unicode MS" w:cs="Noto Sans"/>
          <w:b w:val="0"/>
        </w:rPr>
        <w:t>Materi lain yang secara eksplisit ditandai oleh operator sebagai dapat didistribusikan secara publik.</w:t>
      </w:r>
    </w:p>
    <w:p>
      <w:pPr>
        <w:keepLines w:val="0"/>
      </w:pPr>
      <w:r>
        <w:rPr>
          <w:rFonts w:ascii="Noto Sans" w:hAnsi="Noto Sans" w:eastAsia="Arial Unicode MS" w:cs="Noto Sans"/>
          <w:b w:val="0"/>
        </w:rPr>
        <w:t>Untuk adaptasi ke artikel, video, siaran langsung, media sosial, atau format lain, penskalaan, pemotongan, kompresi, penyubtitelan, atau konversi format yang diperlukan dapat dilakukan; namun, maksud asli konten resmi tidak boleh diubah, pernyataan resmi tidak boleh dipalsukan, kebingungan sumber tidak boleh ditimbulkan, atau identitas resmi tidak boleh disamaratakan. Juga dilarang menyesatkan publik bahwa konten, produk, atau layanan terkait mana pun telah memperoleh otorisasi, sertifikasi, atau dukungan resmi dari DAWNBLOOM.</w:t>
      </w:r>
    </w:p>
    <w:p>
      <w:pPr>
        <w:pStyle w:val="Heading1"/>
        <w:keepLines w:val="0"/>
      </w:pPr>
      <w:r>
        <w:rPr>
          <w:rFonts w:ascii="Noto Sans" w:hAnsi="Noto Sans" w:eastAsia="Arial Unicode MS" w:cs="Noto Sans"/>
          <w:b w:val="0"/>
        </w:rPr>
        <w:t>3.1 Lisensi redistribusi gratis ini TIDAK berlaku untuk hal-hal berikut:</w:t>
      </w:r>
    </w:p>
    <w:p>
      <w:pPr>
        <w:pStyle w:val="ListBullet"/>
        <w:keepLines w:val="0"/>
      </w:pPr>
      <w:r>
        <w:rPr>
          <w:rFonts w:ascii="Noto Sans" w:hAnsi="Noto Sans" w:eastAsia="Arial Unicode MS" w:cs="Noto Sans"/>
          <w:b w:val="0"/>
        </w:rPr>
        <w:t>Mengeklaim diri sebagai DAWNBLOOM, membuat situs web resmi palsu, layanan pelanggan resmi palsu, acara resmi palsu, pengumuman resmi palsu, atau hubungan otorisasi resmi palsu;</w:t>
      </w:r>
    </w:p>
    <w:p>
      <w:pPr>
        <w:pStyle w:val="ListBullet"/>
        <w:keepLines w:val="0"/>
      </w:pPr>
      <w:r>
        <w:rPr>
          <w:rFonts w:ascii="Noto Sans" w:hAnsi="Noto Sans" w:eastAsia="Arial Unicode MS" w:cs="Noto Sans"/>
          <w:b w:val="0"/>
        </w:rPr>
        <w:t>Penggunaan nama, logo, karakter, karya seni, atau materi lain dari DAWNBLOOM untuk membuat, mempromosikan, atau mengoperasikan server pribadi yang tidak diizinkan, perangkat lunak klien bajakan, game palsu, halaman penipuan, atau layanan komersial yang dapat menyesatkan pengguna mengenai afiliasinya dengan game resmi sangat dilarang;</w:t>
      </w:r>
    </w:p>
    <w:p>
      <w:pPr>
        <w:pStyle w:val="ListBullet"/>
        <w:keepLines w:val="0"/>
      </w:pPr>
      <w:r>
        <w:rPr>
          <w:rFonts w:ascii="Noto Sans" w:hAnsi="Noto Sans" w:eastAsia="Arial Unicode MS" w:cs="Noto Sans"/>
          <w:b w:val="0"/>
        </w:rPr>
        <w:t>Mengambil, membungkus ulang, menjual, atau mendistribusikan file karya seni asli, kode sumber, musik/file efek suara, file font, materi yang belum diterbitkan, dokumen perencanaan internal, data backend, tabel probabilitas yang belum diterbitkan, rumus internal, pengali, atau aset non-publik lainnya;</w:t>
      </w:r>
    </w:p>
    <w:p>
      <w:pPr>
        <w:pStyle w:val="ListBullet"/>
        <w:keepLines w:val="0"/>
      </w:pPr>
      <w:r>
        <w:rPr>
          <w:rFonts w:ascii="Noto Sans" w:hAnsi="Noto Sans" w:eastAsia="Arial Unicode MS" w:cs="Noto Sans"/>
          <w:b w:val="0"/>
        </w:rPr>
        <w:t>Memodifikasi paket instalasi resmi, patch, atau file eksekusi dan mendistribusikan ulang atas nama versi resmi;</w:t>
      </w:r>
    </w:p>
    <w:p>
      <w:pPr>
        <w:pStyle w:val="ListBullet"/>
        <w:keepLines w:val="0"/>
      </w:pPr>
      <w:r>
        <w:rPr>
          <w:rFonts w:ascii="Noto Sans" w:hAnsi="Noto Sans" w:eastAsia="Arial Unicode MS" w:cs="Noto Sans"/>
          <w:b w:val="0"/>
        </w:rPr>
        <w:t>Menggunakan materi resmi untuk penipuan, pengalihan lalu lintas jahat, transaksi ilegal, pelanggaran barang, atau penggunaan lain yang jelas merugikan keamanan pemain atau kepentingan sah proyek.</w:t>
      </w:r>
    </w:p>
    <w:p>
      <w:pPr>
        <w:keepLines w:val="0"/>
      </w:pPr>
      <w:r>
        <w:rPr>
          <w:rFonts w:ascii="Noto Sans" w:hAnsi="Noto Sans" w:eastAsia="Arial Unicode MS" w:cs="Noto Sans"/>
          <w:b w:val="0"/>
        </w:rPr>
        <w:t>Streaming langsung normal, streaming rekaman, video panduan, komentar, diskusi fiksi penggemar, dan berbagi komunitas oleh pemain tidak tunduk pada pembatasan tambahan di bawah lisensi ini; ketika melibatkan musik pihak ketiga, font, logo platform, atau materi pihak ketiga lainnya, penggunaan tersebut juga harus mematuhi aturan pemegang hak masing-masing.</w:t>
      </w:r>
    </w:p>
    <w:p>
      <w:pPr>
        <w:pStyle w:val="Heading1"/>
        <w:keepLines w:val="0"/>
      </w:pPr>
      <w:r>
        <w:rPr>
          <w:rFonts w:ascii="Noto Sans" w:hAnsi="Noto Sans" w:eastAsia="Arial Unicode MS" w:cs="Noto Sans"/>
          <w:b w:val="0"/>
        </w:rPr>
        <w:t>4. Konten Buatan Pemain, DAWNBLOOM Community, dan Keluhan Hak Cipta</w:t>
      </w:r>
    </w:p>
    <w:p>
      <w:pPr>
        <w:keepLines w:val="0"/>
      </w:pPr>
      <w:r>
        <w:rPr>
          <w:rFonts w:ascii="Noto Sans" w:hAnsi="Noto Sans" w:eastAsia="Arial Unicode MS" w:cs="Noto Sans"/>
          <w:b w:val="0"/>
        </w:rPr>
        <w:t>"DAWNBLOOM Community" adalah nama komunitas resmi pemain untuk "DAWNBLOOM", dan nama ini akan berfungsi sebagai merek komunitas formal dan tetap berlaku terlepas dari perubahan nama game apa pun. DAWNBLOOM Community mengizinkan pemain untuk mengunggah gambar, panduan, postingan, komentar, dan konten lainnya sesuai dengan aturan komunitas. Pada prinsipnya, pemain mempertahankan hak yang mereka miliki secara hukum atas konten asli mereka, dengan pedoman lisensi dan penggunaan spesifik tersedia dalam "Syarat Penggunaan Situs Web Resmi dan DAWNBLOOM Community".</w:t>
      </w:r>
    </w:p>
    <w:p>
      <w:pPr>
        <w:keepLines w:val="0"/>
      </w:pPr>
      <w:r>
        <w:rPr>
          <w:rFonts w:ascii="Noto Sans" w:hAnsi="Noto Sans" w:eastAsia="Arial Unicode MS" w:cs="Noto Sans"/>
          <w:b w:val="0"/>
        </w:rPr>
        <w:t>Jika Anda merasa bahwa konten yang dibuat pengguna di DAWNBLOOM Community resmi atau halaman resmi DAWNBLOOM lainnya melanggar hak cipta, hak merek dagang, hak potret, hak reputasi, atau hak dan kepentingan sah lainnya, Anda dapat mengajukan keluhan melalui saluran kontak hukum/hak cipta resmi. Untuk tujuan verifikasi, kami menyarankan untuk menyediakan:</w:t>
      </w:r>
    </w:p>
    <w:p>
      <w:pPr>
        <w:pStyle w:val="ListBullet"/>
        <w:keepLines w:val="0"/>
      </w:pPr>
      <w:r>
        <w:rPr>
          <w:rFonts w:ascii="Noto Sans" w:hAnsi="Noto Sans" w:eastAsia="Arial Unicode MS" w:cs="Noto Sans"/>
          <w:b w:val="0"/>
        </w:rPr>
        <w:t>Nama pemegang hak atau nama entitas dan informasi kontak, termasuk email, telepon, atau detail kontak lainnya;</w:t>
      </w:r>
    </w:p>
    <w:p>
      <w:pPr>
        <w:pStyle w:val="ListBullet"/>
        <w:keepLines w:val="0"/>
      </w:pPr>
      <w:r>
        <w:rPr>
          <w:rFonts w:ascii="Noto Sans" w:hAnsi="Noto Sans" w:eastAsia="Arial Unicode MS" w:cs="Noto Sans"/>
          <w:b w:val="0"/>
        </w:rPr>
        <w:t>Bukti yang secara awal menetapkan kepemilikan atau otorisasi;</w:t>
      </w:r>
    </w:p>
    <w:p>
      <w:pPr>
        <w:pStyle w:val="ListBullet"/>
        <w:keepLines w:val="0"/>
      </w:pPr>
      <w:r>
        <w:rPr>
          <w:rFonts w:ascii="Noto Sans" w:hAnsi="Noto Sans" w:eastAsia="Arial Unicode MS" w:cs="Noto Sans"/>
          <w:b w:val="0"/>
        </w:rPr>
        <w:t>URL konten yang dikeluhkan, ID posting, tangkapan layar, atau informasi identifikasi presisi lainnya;</w:t>
      </w:r>
    </w:p>
    <w:p>
      <w:pPr>
        <w:pStyle w:val="ListBullet"/>
        <w:keepLines w:val="0"/>
      </w:pPr>
      <w:r>
        <w:rPr>
          <w:rFonts w:ascii="Noto Sans" w:hAnsi="Noto Sans" w:eastAsia="Arial Unicode MS" w:cs="Noto Sans"/>
          <w:b w:val="0"/>
        </w:rPr>
        <w:t>Pernyataan singkat mengenai pelanggaran yang diduga dan tindakan yang diinginkan;</w:t>
      </w:r>
    </w:p>
    <w:p>
      <w:pPr>
        <w:pStyle w:val="ListBullet"/>
        <w:keepLines w:val="0"/>
      </w:pPr>
      <w:r>
        <w:rPr>
          <w:rFonts w:ascii="Noto Sans" w:hAnsi="Noto Sans" w:eastAsia="Arial Unicode MS" w:cs="Noto Sans"/>
          <w:b w:val="0"/>
        </w:rPr>
        <w:t>Pernyataan yang mengkonfirmasi keakuratan dan keaslian keluhan, serta kesediaan untuk bertanggung jawab atas klaim yang bersifat jahat atau palsu.</w:t>
      </w:r>
    </w:p>
    <w:p>
      <w:pPr>
        <w:keepLines w:val="0"/>
      </w:pPr>
      <w:r>
        <w:rPr>
          <w:rFonts w:ascii="Noto Sans" w:hAnsi="Noto Sans" w:eastAsia="Arial Unicode MS" w:cs="Noto Sans"/>
          <w:b w:val="0"/>
        </w:rPr>
        <w:t>Setelah menerima pemberitahuan yang berisi informasi dasar yang dapat diverifikasi, operator harus segera mengambil tindakan wajar berdasarkan sifat konten, bukti awal, dan hukum yang berlaku, seperti menghubungi penerbit konten, membatasi tampilan, memblokir sementara, menghapus konten, memutus tautan, melestarikan bukti, memulihkan konten yang dihapus secara tidak sengaja, menyediakan saluran untuk banding atau notifikasi balik, atau menolak keluhan yang jelas tidak berdasar.</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Berdasarkan regulasi hak cipta jaringan Tiongkok saat ini dan praktik yudisial, mekanisme "pemberitahuan—penghapusan/pengangkatan" ditekankan. Pemberitahuan pelanggaran hak cipta harus mencakup informasi yang cukup untuk mengidentifikasi konten dan bukti awal yang mendukung klaim hak atau pelanggaran; setelah menerima pemberitahuan yang valid, platform akan segera mengambil tindakan yang diperlukan berdasarkan keadaan spesifik.</w:t>
            </w:r>
          </w:p>
        </w:tc>
      </w:tr>
    </w:tbl>
    <w:p>
      <w:pPr>
        <w:spacing w:after="40"/>
      </w:pPr>
    </w:p>
    <w:p>
      <w:pPr>
        <w:pStyle w:val="Heading1"/>
        <w:keepLines w:val="0"/>
      </w:pPr>
      <w:r>
        <w:rPr>
          <w:rFonts w:ascii="Noto Sans" w:hAnsi="Noto Sans" w:eastAsia="Arial Unicode MS" w:cs="Noto Sans"/>
          <w:b w:val="0"/>
        </w:rPr>
        <w:t>5. Keluhan Hak Cipta dari Pengguna AS</w:t>
      </w:r>
    </w:p>
    <w:p>
      <w:pPr>
        <w:keepLines w:val="0"/>
      </w:pPr>
      <w:r>
        <w:rPr>
          <w:rFonts w:ascii="Noto Sans" w:hAnsi="Noto Sans" w:eastAsia="Arial Unicode MS" w:cs="Noto Sans"/>
          <w:b w:val="0"/>
        </w:rPr>
        <w:t xml:space="preserve">Jika Anda yakin konten di DAWNBLOOM Community atau situs resmi melanggar hak cipta Anda, kirimkan URL konten, detail karya yang dilindungi, bukti kepemilikan atau otorisasi, dan email kontak ke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Kami akan meninjau dan merespons sesuai dengan aturan yang berlaku.</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saat ini merupakan saluran keluhan hak cipta umum. Halaman ini tidak mengklaim bahwa agen yang ditunjuk telah terdaftar menurut §512 DMCA, atau menampilkan kotak surat umum sebagai agen yang ditunjuk terdaftar.</w:t>
      </w:r>
    </w:p>
    <w:p>
      <w:pPr>
        <w:keepLines w:val="0"/>
      </w:pPr>
      <w:r>
        <w:rPr>
          <w:rFonts w:ascii="Noto Sans" w:hAnsi="Noto Sans" w:eastAsia="Arial Unicode MS" w:cs="Noto Sans"/>
          <w:b w:val="0"/>
        </w:rPr>
        <w:t>Jika proses khusus AS untuk pemberitahuan, penghapusan, dan kontra-pemberitahuan diperkenalkan, ruang lingkup, informasi yang diperlukan, dan langkah-langkah penanganan akan dipublikasikan di titik masuk resmi.</w:t>
      </w:r>
    </w:p>
    <w:p>
      <w:pPr>
        <w:keepLines w:val="0"/>
      </w:pPr>
      <w:r>
        <w:rPr>
          <w:rFonts w:ascii="Noto Sans" w:hAnsi="Noto Sans" w:eastAsia="Arial Unicode MS" w:cs="Noto Sans"/>
          <w:b w:val="0"/>
        </w:rPr>
        <w:t>Jika Anda yakin konten Anda dihapus secara keliru, Anda juga dapat meminta peninjauan melalui email tersebut dengan URL konten asli, pemberitahuan penghapusan, dasar hak atau otorisasi Anda, dan detail kontak.</w:t>
      </w:r>
    </w:p>
    <w:p>
      <w:pPr>
        <w:pStyle w:val="Heading1"/>
        <w:keepLines w:val="0"/>
      </w:pPr>
      <w:r>
        <w:rPr>
          <w:rFonts w:ascii="Noto Sans" w:hAnsi="Noto Sans" w:eastAsia="Arial Unicode MS" w:cs="Noto Sans"/>
          <w:b w:val="0"/>
        </w:rPr>
        <w:t>6. Hak Cipta Jepang dan Konten Buatan Pemain</w:t>
      </w:r>
    </w:p>
    <w:p>
      <w:pPr>
        <w:keepLines w:val="0"/>
      </w:pPr>
      <w:r>
        <w:rPr>
          <w:rFonts w:ascii="Noto Sans" w:hAnsi="Noto Sans" w:eastAsia="Arial Unicode MS" w:cs="Noto Sans"/>
          <w:b w:val="0"/>
        </w:rPr>
        <w:t>Saat menyediakan konten kepada pengguna Jepang, setiap reposting publik, unggahan, atau penggunaan karya pihak ketiga umumnya harus mematuhi Undang-Undang Hak Cipta Jepang dan ruang lingkut otorisasi yang dimiliki oleh pemegang hak terkait. Lisensi yang diberikan DAWNBLOOM untuk reposting materi resmi hanya mencakup konten resmi yang secara eksplisit diizinkan dalam Bagian 3 dokumen ini dan tidak merupakan otorisasi dari pemegang hak lainnya.</w:t>
      </w:r>
    </w:p>
    <w:p>
      <w:pPr>
        <w:keepLines w:val="0"/>
      </w:pPr>
      <w:r>
        <w:rPr>
          <w:rFonts w:ascii="Noto Sans" w:hAnsi="Noto Sans" w:eastAsia="Arial Unicode MS" w:cs="Noto Sans"/>
          <w:b w:val="0"/>
        </w:rPr>
        <w:t>Jika konten yang diunggah oleh pengguna Jepang dikeluhkan oleh pemegang hak cipta, operator dapat melakukan verifikasi dan penanganan sesuai dengan hukum yang berlaku, aturan platform, dan mekanisme yang ditentukan dalam Bagian 4 dokumen ini. Untuk batas penerapan fiksi penggemar, streaming langsung, pengeditan video, dan karya penggemar lainnya, lihat Pedoman Konten Penggemar dan Karya Turunan.</w:t>
      </w:r>
    </w:p>
    <w:p>
      <w:pPr>
        <w:pStyle w:val="Heading1"/>
        <w:keepLines w:val="0"/>
      </w:pPr>
      <w:r>
        <w:rPr>
          <w:rFonts w:ascii="Noto Sans" w:hAnsi="Noto Sans" w:eastAsia="Arial Unicode MS" w:cs="Noto Sans"/>
          <w:b w:val="0"/>
        </w:rPr>
        <w:t>7. Pernyataan Merek Dagang dan Merek Pihak Ketiga</w:t>
      </w:r>
    </w:p>
    <w:p>
      <w:pPr>
        <w:keepLines w:val="0"/>
      </w:pPr>
      <w:r>
        <w:rPr>
          <w:rFonts w:ascii="Noto Sans" w:hAnsi="Noto Sans" w:eastAsia="Arial Unicode MS" w:cs="Noto Sans"/>
          <w:b w:val="0"/>
        </w:rPr>
        <w:t>Situs web DAWNBLOOM, aplikasi klien, atau materi promosi dapat merujuk pada nama pihak ketiga, merek dagang, tanda jasa, atau logo resmi untuk mengilustrasikan kompatibilitas platform, titik unduhan, metode pembayaran, saluran komunitas, atau layanan terkait. Referensi tersebut hanya bertujuan untuk identifikasi dan tidak menyiratkan bahwa pihak ketiga berpartisipasi dalam pengembangan, distribusi, operasi, sponsor, sertifikasi, atau dukungan DAWNBLOOM, kecuali dinyatakan secara eksplisit dalam bentuk tertulis.</w:t>
      </w:r>
    </w:p>
    <w:p>
      <w:pPr>
        <w:keepLines w:val="0"/>
      </w:pPr>
      <w:r>
        <w:rPr>
          <w:rFonts w:ascii="Noto Sans" w:hAnsi="Noto Sans" w:eastAsia="Arial Unicode MS" w:cs="Noto Sans"/>
          <w:b w:val="0"/>
        </w:rPr>
        <w:t>Nama dan merek seperti Apple, Google, Microsoft, Steam, App Store, Google Play, Gmail, dan Outlook adalah milik masing-masing pemiliknya. Referensi kompatibilitas atau tautan toko tidak menyiratkan kemitraan atau persetujuan.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Contoh Pengidentifikasi Pihak Ketiga</w:t>
            </w:r>
          </w:p>
        </w:tc>
        <w:tc>
          <w:tcPr>
            <w:tcW w:type="dxa" w:w="4873"/>
            <w:vAlign w:val="center"/>
            <w:shd w:fill="DCE8F7"/>
          </w:tcPr>
          <w:p>
            <w:pPr>
              <w:keepNext/>
              <w:spacing w:after="40"/>
            </w:pPr>
            <w:r>
              <w:rPr>
                <w:rFonts w:ascii="Noto Sans" w:hAnsi="Noto Sans" w:eastAsia="Arial Unicode MS" w:cs="Noto Sans"/>
                <w:b/>
                <w:sz w:val="17"/>
              </w:rPr>
              <w:t>Penjelasan</w:t>
            </w:r>
          </w:p>
        </w:tc>
      </w:tr>
      <w:tr>
        <w:trPr>
          <w:cantSplit/>
        </w:trPr>
        <w:tc>
          <w:tcPr>
            <w:tcW w:type="dxa" w:w="4873"/>
            <w:vAlign w:val="center"/>
          </w:tcPr>
          <w:p>
            <w:pPr>
              <w:spacing w:after="40"/>
            </w:pPr>
            <w:r>
              <w:rPr>
                <w:rFonts w:ascii="Noto Sans" w:hAnsi="Noto Sans" w:eastAsia="Arial Unicode MS" w:cs="Noto Sans"/>
                <w:sz w:val="17"/>
              </w:rPr>
              <w:t>Apple, App Store, Apple Pay, iPhone, iPad, Mac, dll.</w:t>
            </w:r>
          </w:p>
        </w:tc>
        <w:tc>
          <w:tcPr>
            <w:tcW w:type="dxa" w:w="4873"/>
            <w:vAlign w:val="center"/>
          </w:tcPr>
          <w:p>
            <w:pPr>
              <w:spacing w:after="40"/>
            </w:pPr>
            <w:r>
              <w:rPr>
                <w:rFonts w:ascii="Noto Sans" w:hAnsi="Noto Sans" w:eastAsia="Arial Unicode MS" w:cs="Noto Sans"/>
                <w:sz w:val="17"/>
              </w:rPr>
              <w:t>Nama dan logo yang dirujuk dimiliki oleh Apple Inc. atau pemegang hak afiliasinya. Saat menggunakan logo resmi seperti App Store atau Apple Pay, kepatuhan terhadap pedoman merek dan hukum terbaru Apple harus diperhatikan secara ketat.</w:t>
            </w:r>
          </w:p>
        </w:tc>
      </w:tr>
      <w:tr>
        <w:trPr>
          <w:cantSplit/>
        </w:trPr>
        <w:tc>
          <w:tcPr>
            <w:tcW w:type="dxa" w:w="4873"/>
            <w:vAlign w:val="center"/>
          </w:tcPr>
          <w:p>
            <w:pPr>
              <w:spacing w:after="40"/>
            </w:pPr>
            <w:r>
              <w:rPr>
                <w:rFonts w:ascii="Noto Sans" w:hAnsi="Noto Sans" w:eastAsia="Arial Unicode MS" w:cs="Noto Sans"/>
                <w:sz w:val="17"/>
              </w:rPr>
              <w:t>Steam, Logo Steam, Valve</w:t>
            </w:r>
          </w:p>
        </w:tc>
        <w:tc>
          <w:tcPr>
            <w:tcW w:type="dxa" w:w="4873"/>
            <w:vAlign w:val="center"/>
          </w:tcPr>
          <w:p>
            <w:pPr>
              <w:spacing w:after="40"/>
            </w:pPr>
            <w:r>
              <w:rPr>
                <w:rFonts w:ascii="Noto Sans" w:hAnsi="Noto Sans" w:eastAsia="Arial Unicode MS" w:cs="Noto Sans"/>
                <w:sz w:val="17"/>
              </w:rPr>
              <w:t>Nama dan logo yang dirujuk dimiliki oleh Valve Corporation atau pemegang hak afiliasinya. Merek Steam tidak boleh digunakan untuk menyirangkan sponsor atau persetujuan dari Valve untuk konten non-Valve.</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Nama dan logo adalah milik masing-masing pemegang hak.</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Nama dan logo adalah milik masing-masing pemegang hak.</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Hal-hal ini hanya ditunjukkan sebagai metode pembayaran potensial atau integrasi layanan pihak ketiga; merek dagang milik pemegang hak masing-masing.</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dll.</w:t>
            </w:r>
          </w:p>
        </w:tc>
        <w:tc>
          <w:tcPr>
            <w:tcW w:type="dxa" w:w="4873"/>
            <w:vAlign w:val="center"/>
          </w:tcPr>
          <w:p>
            <w:pPr>
              <w:spacing w:after="40"/>
            </w:pPr>
            <w:r>
              <w:rPr>
                <w:rFonts w:ascii="Noto Sans" w:hAnsi="Noto Sans" w:eastAsia="Arial Unicode MS" w:cs="Noto Sans"/>
                <w:sz w:val="17"/>
              </w:rPr>
              <w:t>Hal-hal ini digunakan semata-mata untuk mengidentifikasi saluran komunitas atau media sosial resmi atau layanan pihak ketiga; merek dagang milik pemegang hak masing-masing.</w:t>
            </w:r>
          </w:p>
        </w:tc>
      </w:tr>
    </w:tbl>
    <w:p>
      <w:pPr>
        <w:spacing w:after="40"/>
      </w:pPr>
    </w:p>
    <w:p>
      <w:pPr>
        <w:keepLines w:val="0"/>
      </w:pPr>
      <w:r>
        <w:rPr>
          <w:rFonts w:ascii="Noto Sans" w:hAnsi="Noto Sans" w:eastAsia="Arial Unicode MS" w:cs="Noto Sans"/>
          <w:b w:val="0"/>
        </w:rPr>
        <w:t>Operator akan berusaha menggunakan logo dan aset merek resmi yang disediakan oleh pihak ketiga, dan akan mematuhi persyaratan mengenai ukuran, jarak, warna, pelabelan, dan "tidak ada dukungan tersirat." Pedoman merek pihak ketiga dapat diperbarui; situs web resmi akan mengikuti pedoman resmi terbaru yang diterbitkan oleh pihak ketiga.</w:t>
      </w:r>
    </w:p>
    <w:p>
      <w:pPr>
        <w:pStyle w:val="Heading1"/>
        <w:keepLines w:val="0"/>
      </w:pPr>
      <w:r>
        <w:rPr>
          <w:rFonts w:ascii="Noto Sans" w:hAnsi="Noto Sans" w:eastAsia="Arial Unicode MS" w:cs="Noto Sans"/>
          <w:b w:val="0"/>
        </w:rPr>
        <w:t>8. Perangkat Lunak Sumber Terbuka dan Deklarasi Komponen Pihak Ketiga</w:t>
      </w:r>
    </w:p>
    <w:p>
      <w:pPr>
        <w:keepLines w:val="0"/>
      </w:pPr>
      <w:r>
        <w:rPr>
          <w:rFonts w:ascii="Noto Sans" w:hAnsi="Noto Sans" w:eastAsia="Arial Unicode MS" w:cs="Noto Sans"/>
          <w:b w:val="0"/>
        </w:rPr>
        <w:t>Klien game DAWNBLOOM, server, situs web resmi, atau alat pengembangan terkait mungkin mencakup atau mengandalkan perangkat lunak sumber terbuka pihak ketiga, perpustakaan, kerangka kerja, font, komponen pemrosesan audio/gambar, dan teknologi lainnya. Komponen pihak ketiga tersebut tetap tunduk pada lisensi, pemberitahuan hak cipta, persyaratan atribusi, dan ketentuan lain yang berlaku.</w:t>
      </w:r>
    </w:p>
    <w:p>
      <w:pPr>
        <w:keepLines w:val="0"/>
      </w:pPr>
      <w:r>
        <w:rPr>
          <w:rFonts w:ascii="Noto Sans" w:hAnsi="Noto Sans" w:eastAsia="Arial Unicode MS" w:cs="Noto Sans"/>
          <w:b w:val="0"/>
        </w:rPr>
        <w:t>Aplikasi, situs web, dan game dapat menggunakan komponen sumber terbuka. Pemberitahuan mengikuti komponen dalam versi yang sebenarnya didistribusikan; lisensi tersebut tidak memberikan hak kepada DAWNBLOOM atas konten pihak ketiga yang tidak terkait.</w:t>
      </w:r>
    </w:p>
    <w:p>
      <w:pPr>
        <w:keepLines w:val="0"/>
      </w:pPr>
      <w:r>
        <w:rPr>
          <w:rFonts w:ascii="Noto Sans" w:hAnsi="Noto Sans" w:eastAsia="Arial Unicode MS" w:cs="Noto Sans"/>
          <w:b w:val="0"/>
        </w:rPr>
        <w:t>Pada saat rilis resmi, operator harus mempertahankan halaman Pemberitahuan Sumber Terbuka / Pengungkapan Perangkat Lunak Sumber Terbuka atau menyertakan daftar lisensi dengan distribusi perangkat lunak, memenuhi kewajiban yang diperlukan oleh MIT, Apache, BSD, OFL, LGPL/GPL, atau lisensi aktual lainnya yang digunakan.</w:t>
      </w:r>
    </w:p>
    <w:p>
      <w:pPr>
        <w:keepLines w:val="0"/>
      </w:pPr>
      <w:r>
        <w:rPr>
          <w:rFonts w:ascii="Noto Sans" w:hAnsi="Noto Sans" w:eastAsia="Arial Unicode MS" w:cs="Noto Sans"/>
          <w:b w:val="0"/>
        </w:rPr>
        <w:t>Proyek sumber terbuka pihak ketiga, penulis, yayasan, atau pemegang hak tidak dianggap secara otomatis sebagai sponsor, mitra, penerbit sertifikat, atau pendukung DAWNBLOOM hanya karena teknologi mereka digunakan.</w:t>
      </w:r>
    </w:p>
    <w:p>
      <w:pPr>
        <w:pStyle w:val="Heading1"/>
        <w:keepLines w:val="0"/>
      </w:pPr>
      <w:r>
        <w:rPr>
          <w:rFonts w:ascii="Noto Sans" w:hAnsi="Noto Sans" w:eastAsia="Arial Unicode MS" w:cs="Noto Sans"/>
          <w:b w:val="0"/>
        </w:rPr>
        <w:t>9. Tautan Eksternal, Layanan Pihak Ketiga, dan Akurasi Konten</w:t>
      </w:r>
    </w:p>
    <w:p>
      <w:pPr>
        <w:keepLines w:val="0"/>
      </w:pPr>
      <w:r>
        <w:rPr>
          <w:rFonts w:ascii="Noto Sans" w:hAnsi="Noto Sans" w:eastAsia="Arial Unicode MS" w:cs="Noto Sans"/>
          <w:b w:val="0"/>
        </w:rPr>
        <w:t>Situs web resmi dapat mencakup tautan ke Steam, App Store, platform media sosial, layanan pembayaran, platform dukungan pelanggan, atau layanan pihak ketiga lainnya. Situs web dan layanan pihak ketiga dioperasikan secara independen oleh entitas masing-masing, dan DAWNBLOOM tidak dapat mengontrol ketersediaan, konten, praktik privasi, pembatasan regional, syarat layanan, atau perubahan kebijakan mereka.</w:t>
      </w:r>
    </w:p>
    <w:p>
      <w:pPr>
        <w:keepLines w:val="0"/>
      </w:pPr>
      <w:r>
        <w:rPr>
          <w:rFonts w:ascii="Noto Sans" w:hAnsi="Noto Sans" w:eastAsia="Arial Unicode MS" w:cs="Noto Sans"/>
          <w:b w:val="0"/>
        </w:rPr>
        <w:t>Sumber berita, situs eksternal, penyedia mail, dan toko aplikasi mengendalikan konten, akun, dan syarat mereka sendiri. Tautan perangkat lunak resmi dipublikasikan di dawnbloom.net atau di toko-toko yang secara eksplisit ditautkan darinya.</w:t>
      </w:r>
    </w:p>
    <w:p>
      <w:pPr>
        <w:keepLines w:val="0"/>
      </w:pPr>
      <w:r>
        <w:rPr>
          <w:rFonts w:ascii="Noto Sans" w:hAnsi="Noto Sans" w:eastAsia="Arial Unicode MS" w:cs="Noto Sans"/>
          <w:b w:val="0"/>
        </w:rPr>
        <w:t>Situs web resmi akan berusaha keras untuk memastikan akurasi pengumuman, panduan, instruksi unduhan, informasi kompatibilitas, dan konten publik lainnya, tetapi game akan terus dikembangkan dan diperbarui. Tangkapan layar, seni konsep, fitur uji, dukungan platform yang direncanakan, dan konten yang belum dirilis secara resmi dapat disesuaikan, ditunda, atau dibatalkan berdasarkan kemajuan pengembangan aktual. Kecuali sebagaimana dipersyaratkan oleh hukum atau ketika sebuah halaman secara eksplisit merupakan komitmen produk atau layanan, konten yang ditampilkan selama fase pengembangan tidak merupakan jaminan yang tidak dapat ditarik kembali untuk versi masa depan.</w:t>
      </w:r>
    </w:p>
    <w:p>
      <w:pPr>
        <w:keepLines w:val="0"/>
      </w:pPr>
      <w:r>
        <w:rPr>
          <w:rFonts w:ascii="Noto Sans" w:hAnsi="Noto Sans" w:eastAsia="Arial Unicode MS" w:cs="Noto Sans"/>
          <w:b w:val="0"/>
        </w:rPr>
        <w:t>Postingan, komentar, panduan, dan konten lain yang dihasilkan pengguna (UGC) yang diposting oleh pemain di DAWNBLOOM Community hanya mencerminkan pendapat individu mereka dan tidak selalu mewakili posisi resmi DAWNBLOOM.</w:t>
      </w:r>
    </w:p>
    <w:p>
      <w:pPr>
        <w:pStyle w:val="Heading1"/>
        <w:keepLines w:val="0"/>
      </w:pPr>
      <w:r>
        <w:rPr>
          <w:rFonts w:ascii="Noto Sans" w:hAnsi="Noto Sans" w:eastAsia="Arial Unicode MS" w:cs="Noto Sans"/>
          <w:b w:val="0"/>
        </w:rPr>
        <w:t>10. Panduan Dawnbloom dan Layanan AI Pemain</w:t>
      </w:r>
    </w:p>
    <w:p>
      <w:pPr>
        <w:keepLines w:val="0"/>
      </w:pPr>
      <w:r>
        <w:rPr>
          <w:rFonts w:ascii="Noto Sans" w:hAnsi="Noto Sans" w:eastAsia="Arial Unicode MS" w:cs="Noto Sans"/>
          <w:b w:val="0"/>
        </w:rPr>
        <w:t>DAWNBLOOM AI merupakan merek sistem interaksi cerdas dan layanan teknologi perusahaan kami, sedangkan DAWNBLOOM Fairy merupakan pendamping cerdas dan sosok interaksi bagi pengguna dalam sistem layanan yang sama. DAWNBLOOM AI 2.0 menunjukkan versi publik sistem layanan cerdas tersebut, bukan berarti perusahaan kami telah melatih model bahasa besar dasar secara mandiri. “DAWNBLOOM Fairy” adalah asisten game cerdas dan akses layanan pemain berbasis AI yang disediakan DAWNBLOOM bagi pemain. Asisten ini dapat menjawab pertanyaan mengenai mekanisme permainan, misi, kelas, makhluk fantasi, peta, acara, dan panduan strategi yang dapat dilihat pemain, serta membantu menangani atau mengarahkan penanganan hal seperti keamanan akun, aset game, pesanan isi ulang, status abnormal, dan tiket layanan pelanggan. Layanan terbatas pada tanya jawab mengenai pengetahuan game dan produk yang tersedia untuk publik, komunikasi teks dalam bahasa alami, panduan layanan pemain, serta kemampuan antarmuka Intelligent UI yang benar-benar telah tersedia; dukungan bahasa situs resmi tidak memperluas cakupan bahasa klien game atau masing-masing dari enam perangkat lunak. Saat ini tidak tersedia pembuatan atau penyuntingan gambar, pembuatan PDF, Word, slide presentasi, lembar kerja, maupun otomatisasi perkantoran umum.</w:t>
      </w:r>
    </w:p>
    <w:p>
      <w:pPr>
        <w:keepLines w:val="0"/>
      </w:pPr>
      <w:r>
        <w:rPr>
          <w:rFonts w:ascii="Noto Sans" w:hAnsi="Noto Sans" w:eastAsia="Arial Unicode MS" w:cs="Noto Sans"/>
          <w:b w:val="0"/>
        </w:rPr>
        <w:t>Panduan Dawnbloom dapat membantu pemain atau membimbing mereka dalam menyelesaikan masalah termasuk, namun tidak terbatas pada:</w:t>
      </w:r>
    </w:p>
    <w:p>
      <w:pPr>
        <w:pStyle w:val="ListBullet"/>
        <w:keepLines w:val="0"/>
      </w:pPr>
      <w:r>
        <w:rPr>
          <w:rFonts w:ascii="Noto Sans" w:hAnsi="Noto Sans" w:eastAsia="Arial Unicode MS" w:cs="Noto Sans"/>
          <w:b w:val="0"/>
        </w:rPr>
        <w:t>Mekanisme permainan, kemajuan misi, pengembangan karier, kultivasi binatang hantu, eksplorasi peta, aturan acara, dan strategi permainan;</w:t>
      </w:r>
    </w:p>
    <w:p>
      <w:pPr>
        <w:pStyle w:val="ListBullet"/>
        <w:keepLines w:val="0"/>
      </w:pPr>
      <w:r>
        <w:rPr>
          <w:rFonts w:ascii="Noto Sans" w:hAnsi="Noto Sans" w:eastAsia="Arial Unicode MS" w:cs="Noto Sans"/>
          <w:b w:val="0"/>
        </w:rPr>
        <w:t>Anomali masuk akun, lupa kata sandi, verifikasi email atau nomor telepon, risiko keamanan akun, dan dugaan pencurian akun;</w:t>
      </w:r>
    </w:p>
    <w:p>
      <w:pPr>
        <w:pStyle w:val="ListBullet"/>
        <w:keepLines w:val="0"/>
      </w:pPr>
      <w:r>
        <w:rPr>
          <w:rFonts w:ascii="Noto Sans" w:hAnsi="Noto Sans" w:eastAsia="Arial Unicode MS" w:cs="Noto Sans"/>
          <w:b w:val="0"/>
        </w:rPr>
        <w:t>Kehilangan, ketidaksesuaian kuantitas, atau anomali status karakter, item, peralatan, binatang hantu, koin emas, atau koin sihir;</w:t>
      </w:r>
    </w:p>
    <w:p>
      <w:pPr>
        <w:pStyle w:val="ListBullet"/>
        <w:keepLines w:val="0"/>
      </w:pPr>
      <w:r>
        <w:rPr>
          <w:rFonts w:ascii="Noto Sans" w:hAnsi="Noto Sans" w:eastAsia="Arial Unicode MS" w:cs="Noto Sans"/>
          <w:b w:val="0"/>
        </w:rPr>
        <w:t>Konsumsi abnormal, keuntungan abnormal, anomali transaksi, hadiah yang tidak diterima, hadiah acara abnormal, atau anomali dalam pesan atau sistem messenger;</w:t>
      </w:r>
    </w:p>
    <w:p>
      <w:pPr>
        <w:pStyle w:val="ListBullet"/>
        <w:keepLines w:val="0"/>
      </w:pPr>
      <w:r>
        <w:rPr>
          <w:rFonts w:ascii="Noto Sans" w:hAnsi="Noto Sans" w:eastAsia="Arial Unicode MS" w:cs="Noto Sans"/>
          <w:b w:val="0"/>
        </w:rPr>
        <w:t>Pengisian ulang, pesanan, pembelian di toko, penukaran, dan masalah terkait pengiriman atau konfirmasi;</w:t>
      </w:r>
    </w:p>
    <w:p>
      <w:pPr>
        <w:pStyle w:val="ListBullet"/>
        <w:keepLines w:val="0"/>
      </w:pPr>
      <w:r>
        <w:rPr>
          <w:rFonts w:ascii="Noto Sans" w:hAnsi="Noto Sans" w:eastAsia="Arial Unicode MS" w:cs="Noto Sans"/>
          <w:b w:val="0"/>
        </w:rPr>
        <w:t>Umpan balik tentang bug permainan, kerusakan fungsional, crash, koneksi terputus, atau desinkronisasi data;</w:t>
      </w:r>
    </w:p>
    <w:p>
      <w:pPr>
        <w:pStyle w:val="ListBullet"/>
        <w:keepLines w:val="0"/>
      </w:pPr>
      <w:r>
        <w:rPr>
          <w:rFonts w:ascii="Noto Sans" w:hAnsi="Noto Sans" w:eastAsia="Arial Unicode MS" w:cs="Noto Sans"/>
          <w:b w:val="0"/>
        </w:rPr>
        <w:t>Banding atas kehilangan karakter, item, binatang hantu, dan mata uang akibat pencurian akun;</w:t>
      </w:r>
    </w:p>
    <w:p>
      <w:pPr>
        <w:pStyle w:val="ListBullet"/>
        <w:keepLines w:val="0"/>
      </w:pPr>
      <w:r>
        <w:rPr>
          <w:rFonts w:ascii="Noto Sans" w:hAnsi="Noto Sans" w:eastAsia="Arial Unicode MS" w:cs="Noto Sans"/>
          <w:b w:val="0"/>
        </w:rPr>
        <w:t>Pertanyaan dan panduan banding mengenai pemblokiran akun, pembatasan, atau status abnormal lainnya;</w:t>
      </w:r>
    </w:p>
    <w:p>
      <w:pPr>
        <w:pStyle w:val="ListBullet"/>
        <w:keepLines w:val="0"/>
      </w:pPr>
      <w:r>
        <w:rPr>
          <w:rFonts w:ascii="Noto Sans" w:hAnsi="Noto Sans" w:eastAsia="Arial Unicode MS" w:cs="Noto Sans"/>
          <w:b w:val="0"/>
        </w:rPr>
        <w:t>Masalah lain yang memerlukan bantuan dari pusat dukungan pemain.</w:t>
      </w:r>
    </w:p>
    <w:p>
      <w:pPr>
        <w:keepLines w:val="0"/>
      </w:pPr>
      <w:r>
        <w:rPr>
          <w:rFonts w:ascii="Noto Sans" w:hAnsi="Noto Sans" w:eastAsia="Arial Unicode MS" w:cs="Noto Sans"/>
          <w:b w:val="0"/>
        </w:rPr>
        <w:t>Untuk pertanyaan yang dapat dinilai langsung berdasarkan materi publik, DAWNBLOOM Fairy dapat memberikan jawaban segera atau panduan penyelesaian; untuk pertanyaan yang memerlukan pemeriksaan data server, seperti keamanan akun, catatan transaksi, aset game, pemulihan data, kerugian akibat pencurian, dan keberatan atas sanksi, DAWNBLOOM Fairy dapat membantu menyelesaikan verifikasi identitas, menyusun informasi yang diperlukan, membuat alur penanganan, membuat atau meneruskan tiket resmi, serta membantu verifikasi berdasarkan catatan server, log tindakan, dan data tepercaya lainnya. Intelligent UI menggabungkan jawaban dengan kartu informasi interaktif, akses fitur, dan antarmuka konfirmasi. Informasi makhluk fantasi, perlengkapan, barang, catatan game pribadi, dan keamanan akun hanya diberikan sejauh fitur tersebut telah tersedia, pengguna yang bersangkutan telah memberikan otorisasi yang sah, serta sistem backend telah mengonfirmasi identitas dan kewenangan terkait. Munculnya jawaban AI, kartu, atau tombol tidak berarti tindakan telah dilaksanakan; tindakan sensitif harus melalui verifikasi resmi dan konfirmasi yang diperlukan, serta mengacu pada hasil sistem. Sistem kewenangan tidak boleh dilewati untuk mengubah data pemain atau membaca informasi nonpublik milik orang lain.</w:t>
      </w:r>
    </w:p>
    <w:p>
      <w:pPr>
        <w:keepLines w:val="0"/>
      </w:pPr>
      <w:r>
        <w:rPr>
          <w:rFonts w:ascii="Noto Sans" w:hAnsi="Noto Sans" w:eastAsia="Arial Unicode MS" w:cs="Noto Sans"/>
          <w:b w:val="0"/>
        </w:rPr>
        <w:t>Panduan Dawnbloom tidak akan secara langsung memodifikasi aset permainan atau data backend semata-mata atas permintaan pemain. Masalah yang melibatkan restorasi item, restorasi binatang hantu, koin emas atau sihir abnormal, kerugian akibat pencurian, sengketa transaksi, penerbitan hadiah, atau penalti akun harus ditangani berdasarkan catatan aktual, izin berbasis aturan, dan prosedur tinjauan yang diperlukan. Untuk melindungi keamanan akun, Panduan Dawnbloom tidak akan pernah meminta pemain untuk memberikan kata sandi akun atau kode verifikasi satu kali penuh. Untuk operasi akun berisiko tinggi, mekanisme verifikasi identitas resmi masih akan diperlukan untuk konfirmasi.</w:t>
      </w:r>
    </w:p>
    <w:p>
      <w:pPr>
        <w:keepLines w:val="0"/>
      </w:pPr>
      <w:r>
        <w:rPr>
          <w:rFonts w:ascii="Noto Sans" w:hAnsi="Noto Sans" w:eastAsia="Arial Unicode MS" w:cs="Noto Sans"/>
          <w:b w:val="0"/>
        </w:rPr>
        <w:t>DAWNBLOOM tidak akan mengungkapkan bidang backend, rumus perhitungan internal, probabilitas yang belum diumumkan, pengali internal, strategi keamanan, metode eksploitasi kerentanan, dokumen perencanaan yang belum diterbitkan, informasi administrator, atau data non-publik lainnya kepada pemain. Sistem AI mungkin menunjukkan kesalahan pemahaman, penundaan informasi, atau ekspresi yang tidak lengkap; jika respons apa pun dari Panduan Dawnbloom bertentangan dengan pengumuman resmi, Kebijakan Privasi, Peraturan Pemain &amp; Kebijakan Penegakan, Syarat Penjualan &amp; Pengembalian Dana, data yang diverifikasi secara resmi, atau hasil yang ditinjau secara manual, yang terakhir harus diutamakan.</w:t>
      </w:r>
    </w:p>
    <w:p>
      <w:pPr>
        <w:keepLines w:val="0"/>
      </w:pPr>
      <w:r>
        <w:rPr>
          <w:rFonts w:ascii="Noto Sans" w:hAnsi="Noto Sans" w:eastAsia="Arial Unicode MS" w:cs="Noto Sans"/>
          <w:b w:val="0"/>
        </w:rPr>
        <w:t>Integrasi teknologi menggunakan kemampuan Qwen dari Alibaba Cloud Model Studio; integrasi model menggunakan endpoint wilayah Tokyo, Jepang. Wilayah endpoint tidak berarti seluruh data pengguna hanya diproses di Jepang dan tidak menggantikan verifikasi perjanjian layanan yang sebenarnya, log penyedia layanan, kontrol pelatihan, pengaturan retensi, dan kewajiban lintas batas. OpenAI Codex terlibat dalam pembangunan sistem pengetahuan, pengembangan fitur, desain interaksi, dan optimalisasi berkelanjutan; keterlibatan tersebut tidak secara otomatis memberinya akses ke data percakapan pengguna dan tidak berarti bahwa OpenAI Codex melatih model dasar Qwen.</w:t>
      </w:r>
    </w:p>
    <w:p>
      <w:pPr>
        <w:pStyle w:val="Heading1"/>
        <w:keepLines w:val="0"/>
      </w:pPr>
      <w:r>
        <w:rPr>
          <w:rFonts w:ascii="Noto Sans" w:hAnsi="Noto Sans" w:eastAsia="Arial Unicode MS" w:cs="Noto Sans"/>
          <w:b w:val="0"/>
        </w:rPr>
        <w:t>11. Kerentanan Keamanan, Pemberitahuan Hukum, dan Permintaan Penegakan Hukum</w:t>
      </w:r>
    </w:p>
    <w:p>
      <w:pPr>
        <w:keepLines w:val="0"/>
      </w:pPr>
      <w:r>
        <w:rPr>
          <w:rFonts w:ascii="Noto Sans" w:hAnsi="Noto Sans" w:eastAsia="Arial Unicode MS" w:cs="Noto Sans"/>
          <w:b w:val="0"/>
        </w:rPr>
        <w:t xml:space="preserve">Jika Anda menemukan kerentanan di situs resmi, sistem akun, DAWNBLOOM Community, layanan pelanggan AI, atau layanan game yang dapat membahayakan akun, data, atau keamanan layanan pemain, kami menyarankan untuk mengungkapkan secara bertanggung jawab melalui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atau dukungan pelanggan resmi. Jangan ungkapkan secara publik detail eksploit, metode untuk menyalin item, skrip serangan, kredensial login, informasi pribadi orang lain, atau data backend internal yang dapat disalahgunakan segera.</w:t>
      </w:r>
    </w:p>
    <w:p>
      <w:pPr>
        <w:keepLines w:val="0"/>
      </w:pPr>
      <w:r>
        <w:rPr>
          <w:rFonts w:ascii="Noto Sans" w:hAnsi="Noto Sans" w:eastAsia="Arial Unicode MS" w:cs="Noto Sans"/>
          <w:b w:val="0"/>
        </w:rPr>
        <w:t>Permintaan retensi, pengungkapan, penghapusan, pemblokiran, atau bantuan yang diajukan oleh pengadilan, otoritas regulasi, lembaga penegak hukum, atau entitas berwenang secara hukum lainnya akan ditinjau dan diproses berdasarkan hukum yang berlaku, kewenangan permintaan, keaslian, dan kebutuhan. Batas untuk pengungkapan dan retensi informasi pribadi sebagaimana ditentukan dalam Kebijakan Privasi.</w:t>
      </w:r>
    </w:p>
    <w:p>
      <w:pPr>
        <w:pStyle w:val="Heading1"/>
        <w:keepLines w:val="0"/>
      </w:pPr>
      <w:r>
        <w:rPr>
          <w:rFonts w:ascii="Noto Sans" w:hAnsi="Noto Sans" w:eastAsia="Arial Unicode MS" w:cs="Noto Sans"/>
          <w:b w:val="0"/>
        </w:rPr>
        <w:t>12. Indeks Informasi Hukum Regional</w:t>
      </w:r>
    </w:p>
    <w:p>
      <w:pPr>
        <w:keepLines w:val="0"/>
      </w:pPr>
      <w:r>
        <w:rPr>
          <w:rFonts w:ascii="Noto Sans" w:hAnsi="Noto Sans" w:eastAsia="Arial Unicode MS" w:cs="Noto Sans"/>
          <w:b w:val="0"/>
        </w:rPr>
        <w:t>. Halaman ini berfungsi sebagai titik masuk informasi hukum umum dan tidak menggantikan pengungkapan wajib yang diperlukan oleh yurisdiksi yang berlaku. Jika terjadi perubahan mengenai entitas operasional, lokasi server, metode pemrosesan pembayaran, informasi penjual, model konten buatan pengguna forum, atau kebijakan toko aplikasi, halaman hukum yang sesuai akan diperbarui sesuai.</w:t>
      </w:r>
    </w:p>
    <w:p>
      <w:pPr>
        <w:pStyle w:val="Heading1"/>
        <w:keepLines w:val="0"/>
      </w:pPr>
      <w:r>
        <w:rPr>
          <w:rFonts w:ascii="Noto Sans" w:hAnsi="Noto Sans" w:eastAsia="Arial Unicode MS" w:cs="Noto Sans"/>
          <w:b w:val="0"/>
        </w:rPr>
        <w:t>13. Hubungi Kami</w:t>
      </w:r>
    </w:p>
    <w:p>
      <w:pPr>
        <w:keepLines w:val="0"/>
      </w:pPr>
      <w:r>
        <w:rPr>
          <w:rFonts w:ascii="Noto Sans" w:hAnsi="Noto Sans" w:eastAsia="Arial Unicode MS" w:cs="Noto Sans"/>
          <w:b w:val="0"/>
        </w:rPr>
        <w:t xml:space="preserve">Dukungan Pemain Umum: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Pertanyaan Hukum, Hak Cipta, dan Privasi: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Kerentanan dan Insiden Keamanan: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Media dan Kerjasama Bisnis: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Domain resmi dan entri regional diidentifikasi dalam bagian 1; domain perlindungan merek yang ada terdaftar dalam Saluran Resmi &amp; Pemberitahuan Anti-Penipuan saat ini. Akun DAWNBLOOM dan DAWNBLOOM Community tetap menjadi bagian dari layanan yang sama, dan alamat email resmi menggunakan @dawnbloom.net.</w:t>
      </w:r>
    </w:p>
    <w:p>
      <w:pPr>
        <w:keepLines w:val="0"/>
      </w:pPr>
      <w:r>
        <w:rPr>
          <w:rFonts w:ascii="Noto Sans" w:hAnsi="Noto Sans" w:eastAsia="Arial Unicode MS" w:cs="Noto Sans"/>
          <w:b w:val="0"/>
        </w:rPr>
        <w:t>Operator / penyedia layanan situs web: 上海追光智创文化传媒有限公司 (Nama publik berbahasa Inggris: SHANGHAI LUMIREALM CREATIVE MEDIA CO., LTD.)</w:t>
      </w:r>
    </w:p>
    <w:p>
      <w:pPr>
        <w:keepLines w:val="0"/>
      </w:pPr>
      <w:r>
        <w:rPr>
          <w:rFonts w:ascii="Noto Sans" w:hAnsi="Noto Sans" w:eastAsia="Arial Unicode MS" w:cs="Noto Sans"/>
          <w:b w:val="0"/>
        </w:rPr>
        <w:t>Alamat Operasi / Alamat Kontak Resmi: Ruang 218, Gedung 3, No. 336 Jalan Tianjiao, Area Khusus Lin-gang, Zona Perdagangan Bebas Piloting Tiongkok (Shanghai), Tiongkok</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Informasi Hukum &amp; Pemberitahuan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