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Ketentuan Layanan DAWNBLOOM Archive</w:t>
      </w:r>
    </w:p>
    <w:p>
      <w:pPr>
        <w:keepLines w:val="0"/>
      </w:pPr>
      <w:r>
        <w:rPr>
          <w:rFonts w:ascii="Noto Sans" w:hAnsi="Noto Sans" w:eastAsia="Noto Sans TC" w:cs="Noto Sans"/>
          <w:b w:val="0"/>
        </w:rPr>
        <w:t>Versi: V8</w:t>
      </w:r>
    </w:p>
    <w:p>
      <w:pPr>
        <w:keepLines w:val="0"/>
      </w:pPr>
      <w:r>
        <w:rPr>
          <w:rFonts w:ascii="Noto Sans" w:hAnsi="Noto Sans" w:eastAsia="Noto Sans TC" w:cs="Noto Sans"/>
          <w:b w:val="0"/>
        </w:rPr>
        <w:t>Tanggal revisi: 10 Oktober 2026</w:t>
      </w:r>
    </w:p>
    <w:p>
      <w:pPr>
        <w:keepLines w:val="0"/>
      </w:pPr>
      <w:r>
        <w:rPr>
          <w:rFonts w:ascii="Noto Sans" w:hAnsi="Noto Sans" w:eastAsia="Noto Sans TC" w:cs="Noto Sans"/>
          <w:b w:val="0"/>
        </w:rPr>
        <w:t>Tanggal berlaku: 10 Oktober 2026</w:t>
      </w:r>
    </w:p>
    <w:p>
      <w:pPr>
        <w:keepLines w:val="0"/>
      </w:pPr>
      <w:r>
        <w:rPr>
          <w:rFonts w:ascii="Noto Sans" w:hAnsi="Noto Sans" w:eastAsia="Noto Sans TC" w:cs="Noto Sans"/>
          <w:b w:val="0"/>
        </w:rPr>
        <w:t>Penyedia: 上海追光智创文化传媒有限公司</w:t>
      </w:r>
    </w:p>
    <w:p>
      <w:pPr>
        <w:keepLines w:val="0"/>
      </w:pPr>
      <w:r>
        <w:rPr>
          <w:rFonts w:ascii="Noto Sans" w:hAnsi="Noto Sans" w:eastAsia="Noto Sans TC" w:cs="Noto Sans"/>
          <w:b w:val="0"/>
        </w:rPr>
        <w:t>Selamat mengenal DAWNBLOOM Archive. Ketentuan ini berlaku untuk pengunduhan, pemasangan, atau penggunaan DAWNBLOOM Archive dari saluran resmi, termasuk pembaruan dan layanan resmi terkait.</w:t>
      </w:r>
    </w:p>
    <w:p>
      <w:pPr>
        <w:keepLines w:val="0"/>
      </w:pPr>
      <w:r>
        <w:rPr>
          <w:rFonts w:ascii="Noto Sans" w:hAnsi="Noto Sans" w:eastAsia="Noto Sans TC" w:cs="Noto Sans"/>
          <w:b w:val="0"/>
        </w:rPr>
        <w:t>Dengan mengunduh atau menggunakan DAWNBLOOM Archive, Anda menyatakan telah membaca dan menyetujui ketentuan ini. Jika tidak setuju, jangan mengunduh atau menggunakannya. Status ketersediaan perangkat lunak dan informasi paket pemasangan mengacu pada tampilan yang sebenarnya di situs resmi.</w:t>
      </w:r>
    </w:p>
    <w:p>
      <w:pPr>
        <w:pStyle w:val="Heading1"/>
        <w:keepLines w:val="0"/>
      </w:pPr>
      <w:r>
        <w:rPr>
          <w:rFonts w:ascii="Noto Sans" w:hAnsi="Noto Sans" w:eastAsia="Noto Sans TC" w:cs="Noto Sans"/>
          <w:b w:val="0"/>
        </w:rPr>
        <w:t>1. Penyedia layanan</w:t>
      </w:r>
    </w:p>
    <w:p>
      <w:pPr>
        <w:keepLines w:val="0"/>
      </w:pPr>
      <w:r>
        <w:rPr>
          <w:rFonts w:ascii="Noto Sans" w:hAnsi="Noto Sans" w:eastAsia="Noto Sans TC" w:cs="Noto Sans"/>
          <w:b w:val="0"/>
        </w:rPr>
        <w:t>DAWNBLOOM Archive disediakan dan dipelihara oleh 上海追光智创文化传媒有限公司.</w:t>
      </w:r>
    </w:p>
    <w:p>
      <w:pPr>
        <w:keepLines w:val="0"/>
      </w:pPr>
      <w:r>
        <w:rPr>
          <w:rFonts w:ascii="Noto Sans" w:hAnsi="Noto Sans" w:eastAsia="Noto Sans TC" w:cs="Noto Sans"/>
          <w:b w:val="0"/>
        </w:rPr>
        <w:t xml:space="preserve">Email kontak: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Situs resmi: </w:t>
      </w:r>
      <w:hyperlink r:id="rId12">
        <w:r>
          <w:rPr>
            <w:rFonts w:ascii="Noto Sans" w:hAnsi="Noto Sans" w:eastAsia="Noto Sans TC"/>
            <w:b w:val="0"/>
          </w:rPr>
          <w:t xml:space="preserve">https://dawnbloom.net.</w:t>
        </w:r>
      </w:hyperlink>
      <w:r>
        <w:rPr>
          <w:rFonts w:ascii="Noto Sans" w:hAnsi="Noto Sans" w:eastAsia="Noto Sans TC" w:cs="Noto Sans"/>
          <w:b w:val="0"/>
        </w:rPr>
        <w:t xml:space="preserve"> Alamat kontak resmi menurut hukum: Ruang 218, Gedung 3, Jalan Tianjiao No. 336, Kawasan Baru Lingang, Zona Perdagangan Bebas Percontohan Tiongkok (Shanghai).</w:t>
      </w:r>
    </w:p>
    <w:p>
      <w:pPr>
        <w:pStyle w:val="Heading1"/>
        <w:keepLines w:val="0"/>
      </w:pPr>
      <w:r>
        <w:rPr>
          <w:rFonts w:ascii="Noto Sans" w:hAnsi="Noto Sans" w:eastAsia="Noto Sans TC" w:cs="Noto Sans"/>
          <w:b w:val="0"/>
        </w:rPr>
        <w:t>2. Produk dan status ketersediaan</w:t>
      </w:r>
    </w:p>
    <w:p>
      <w:pPr>
        <w:keepLines w:val="0"/>
      </w:pPr>
      <w:r>
        <w:rPr>
          <w:rFonts w:ascii="Noto Sans" w:hAnsi="Noto Sans" w:eastAsia="Noto Sans TC" w:cs="Noto Sans"/>
          <w:b w:val="0"/>
        </w:rPr>
        <w:t>DAWNBLOOM Archive adalah alat desktop untuk menelusuri, mengompresi, mengekstrak, menampilkan pratinjau, dan memeriksa berkas arsip secara lokal pada perangkat. Fitur, kompatibilitas, dan waktu ketersediaan pada setiap platform mengacu pada versi resmi terkait dan informasi yang benar-benar diumumkan di situs resmi.</w:t>
      </w:r>
    </w:p>
    <w:p>
      <w:pPr>
        <w:keepLines w:val="0"/>
      </w:pPr>
      <w:r>
        <w:rPr>
          <w:rFonts w:ascii="Noto Sans" w:hAnsi="Noto Sans" w:eastAsia="Noto Sans TC" w:cs="Noto Sans"/>
          <w:b w:val="0"/>
        </w:rPr>
        <w:t>Produk tersedia dalam versi macOS dan Windows; untuk status unduhan, arsitektur, dan status penandatanganan yang spesifik, lihat kartu platform terkait di situs resmi.</w:t>
      </w:r>
    </w:p>
    <w:p>
      <w:pPr>
        <w:pStyle w:val="Heading1"/>
        <w:keepLines w:val="0"/>
      </w:pPr>
      <w:r>
        <w:rPr>
          <w:rFonts w:ascii="Noto Sans" w:hAnsi="Noto Sans" w:eastAsia="Noto Sans TC" w:cs="Noto Sans"/>
          <w:b w:val="0"/>
        </w:rPr>
        <w:t>3. Berkas lokal dan privasi</w:t>
      </w:r>
    </w:p>
    <w:p>
      <w:pPr>
        <w:keepLines w:val="0"/>
      </w:pPr>
      <w:r>
        <w:rPr>
          <w:rFonts w:ascii="Noto Sans" w:hAnsi="Noto Sans" w:eastAsia="Noto Sans TC" w:cs="Noto Sans"/>
          <w:b w:val="0"/>
        </w:rPr>
        <w:t>Penelusuran arsip, kompresi, ekstraksi, pratinjau, dan pemeriksaan integritas yang saat ini telah diimplementasikan dilakukan pada perangkat lokal. Server DAWNBLOOM tidak menangani pengunggahan, ekstraksi, penyimpanan, atau pembacaan isi arsip Anda. Bacalah penjelasan privasi produk dan Kebijakan Privasi DAWNBLOOM terpadu untuk memperoleh penjelasan lengkap mengenai pemrosesan data.</w:t>
      </w:r>
    </w:p>
    <w:p>
      <w:pPr>
        <w:keepLines w:val="0"/>
      </w:pPr>
      <w:r>
        <w:rPr>
          <w:rFonts w:ascii="Noto Sans" w:hAnsi="Noto Sans" w:eastAsia="Noto Sans TC" w:cs="Noto Sans"/>
          <w:b w:val="0"/>
        </w:rPr>
        <w:t>Login akun dan sinkronisasi pengaturan merupakan fitur opsional. Bahasa, format kompresi, dan preset kompresi hanya disinkronkan setelah Anda mengaktifkan sinkronisasi; berkas, isi arsip, daftar nama berkas, jalur berkas, kata sandi arsip, riwayat lokal, dan konten sementara tidak disinkronkan. Autentikasi akun ditangani sesuai kebijakan privasi akun terpadu.</w:t>
      </w:r>
    </w:p>
    <w:p>
      <w:pPr>
        <w:pStyle w:val="Heading1"/>
        <w:keepLines w:val="0"/>
      </w:pPr>
      <w:r>
        <w:rPr>
          <w:rFonts w:ascii="Noto Sans" w:hAnsi="Noto Sans" w:eastAsia="Noto Sans TC" w:cs="Noto Sans"/>
          <w:b w:val="0"/>
        </w:rPr>
        <w:t>4. Sumber berkas, kata sandi, dan cadangan</w:t>
      </w:r>
    </w:p>
    <w:p>
      <w:pPr>
        <w:keepLines w:val="0"/>
      </w:pPr>
      <w:r>
        <w:rPr>
          <w:rFonts w:ascii="Noto Sans" w:hAnsi="Noto Sans" w:eastAsia="Noto Sans TC" w:cs="Noto Sans"/>
          <w:b w:val="0"/>
        </w:rPr>
        <w:t>Anda harus memastikan bahwa Anda memiliki hak penggunaan yang sah atas berkas yang diproses dan menilai sendiri apakah sumbernya dapat dipercaya. Kerusakan, bagian arsip terpisah yang hilang, enkripsi, konten berbahaya, atau perbedaan format dapat menyebabkan arsip tidak dapat dibaca atau menghasilkan hasil yang berbeda dari perkiraan. Peringatan integritas dan risiko tidak menjamin bahwa semua masalah akan terdeteksi.</w:t>
      </w:r>
    </w:p>
    <w:p>
      <w:pPr>
        <w:keepLines w:val="0"/>
      </w:pPr>
      <w:r>
        <w:rPr>
          <w:rFonts w:ascii="Noto Sans" w:hAnsi="Noto Sans" w:eastAsia="Noto Sans TC" w:cs="Noto Sans"/>
          <w:b w:val="0"/>
        </w:rPr>
        <w:t>Simpanlah kata sandi arsip Anda dengan baik dan buat cadangan terpisah untuk berkas penting. Jika kata sandi terlupa, berkas asli telah rusak, atau bagian arsip terpisah yang diperlukan hilang, perangkat lunak tidak menjamin dapat memulihkan isinya.</w:t>
      </w:r>
    </w:p>
    <w:p>
      <w:pPr>
        <w:pStyle w:val="Heading1"/>
        <w:keepLines w:val="0"/>
      </w:pPr>
      <w:r>
        <w:rPr>
          <w:rFonts w:ascii="Noto Sans" w:hAnsi="Noto Sans" w:eastAsia="Noto Sans TC" w:cs="Noto Sans"/>
          <w:b w:val="0"/>
        </w:rPr>
        <w:t>5. Lisensi penggunaan perangkat lunak</w:t>
      </w:r>
    </w:p>
    <w:p>
      <w:pPr>
        <w:keepLines w:val="0"/>
      </w:pPr>
      <w:r>
        <w:rPr>
          <w:rFonts w:ascii="Noto Sans" w:hAnsi="Noto Sans" w:eastAsia="Noto Sans TC" w:cs="Noto Sans"/>
          <w:b w:val="0"/>
        </w:rPr>
        <w:t>Dengan tunduk pada ketentuan ini, kami memberikan kepada Anda lisensi terbatas, noneksklusif, dan tidak dapat dialihkan untuk memasang dan menggunakan DAWNBLOOM Archive yang disediakan secara resmi pada perangkat kompatibel yang Anda miliki atau kendalikan secara sah. Hak atas perangkat lunak, merek dagang, ikon, desain, dan kode tidak beralih karena pemberian lisensi ini.</w:t>
      </w:r>
    </w:p>
    <w:p>
      <w:pPr>
        <w:keepLines w:val="0"/>
      </w:pPr>
      <w:r>
        <w:rPr>
          <w:rFonts w:ascii="Noto Sans" w:hAnsi="Noto Sans" w:eastAsia="Noto Sans TC" w:cs="Noto Sans"/>
          <w:b w:val="0"/>
        </w:rPr>
        <w:t>Kecuali diizinkan oleh hukum yang berlaku, dilarang mengubah dengan niat jahat atau merusak perangkat lunak, melewati langkah keamanan, menyamar sebagai distribusi resmi, menyebarkan perangkat lunak berbahaya, atau menggunakan produk ini dengan cara yang melanggar hak dan kepentingan sah orang lain. Komponen sumber terbuka pihak ketiga tunduk pada lisensinya masing-masing.</w:t>
      </w:r>
    </w:p>
    <w:p>
      <w:pPr>
        <w:pStyle w:val="Heading1"/>
        <w:keepLines w:val="0"/>
      </w:pPr>
      <w:r>
        <w:rPr>
          <w:rFonts w:ascii="Noto Sans" w:hAnsi="Noto Sans" w:eastAsia="Noto Sans TC" w:cs="Noto Sans"/>
          <w:b w:val="0"/>
        </w:rPr>
        <w:t>6. Kompatibilitas, pembaruan, dan biaya</w:t>
      </w:r>
    </w:p>
    <w:p>
      <w:pPr>
        <w:keepLines w:val="0"/>
      </w:pPr>
      <w:r>
        <w:rPr>
          <w:rFonts w:ascii="Noto Sans" w:hAnsi="Noto Sans" w:eastAsia="Noto Sans TC" w:cs="Noto Sans"/>
          <w:b w:val="0"/>
        </w:rPr>
        <w:t>Dukungan format dan kemampuan platform mengacu pada situs resmi serta keterangan versi terkait; dukungan pembacaan suatu format tidak berarti dukungan pembuatan format tersebut. Perbedaan arsip, pengodean, izin sistem, dan ruang disk yang tersedia dapat memengaruhi hasil.</w:t>
      </w:r>
    </w:p>
    <w:p>
      <w:pPr>
        <w:keepLines w:val="0"/>
      </w:pPr>
      <w:r>
        <w:rPr>
          <w:rFonts w:ascii="Noto Sans" w:hAnsi="Noto Sans" w:eastAsia="Noto Sans TC" w:cs="Noto Sans"/>
          <w:b w:val="0"/>
        </w:rPr>
        <w:t>Kami dapat menyediakan pembaruan keamanan, kompatibilitas, dan fitur. Harga atau metode pembebanan biaya untuk versi resmi apa pun, jika ada, akan diumumkan dengan jelas sebelum disediakan; ketentuan ini sendiri tidak merupakan komitmen untuk mengenakan biaya.</w:t>
      </w:r>
    </w:p>
    <w:p>
      <w:pPr>
        <w:pStyle w:val="Heading1"/>
        <w:keepLines w:val="0"/>
      </w:pPr>
      <w:r>
        <w:rPr>
          <w:rFonts w:ascii="Noto Sans" w:hAnsi="Noto Sans" w:eastAsia="Noto Sans TC" w:cs="Noto Sans"/>
          <w:b w:val="0"/>
        </w:rPr>
        <w:t>7. Penafian dan tanggung jawab</w:t>
      </w:r>
    </w:p>
    <w:p>
      <w:pPr>
        <w:keepLines w:val="0"/>
      </w:pPr>
      <w:r>
        <w:rPr>
          <w:rFonts w:ascii="Noto Sans" w:hAnsi="Noto Sans" w:eastAsia="Noto Sans TC" w:cs="Noto Sans"/>
          <w:b w:val="0"/>
        </w:rPr>
        <w:t>Sejauh diizinkan oleh hukum yang berlaku, perangkat lunak disediakan sebagaimana adanya dan sesuai ketersediaannya. Kami akan memelihara keamanan dan stabilitas secara wajar, tetapi tidak menjamin bahwa setiap arsip dapat berhasil dibaca, diperbaiki, atau diekstrak, maupun bahwa perangkat lunak dapat mengenali semua konten berbahaya.</w:t>
      </w:r>
    </w:p>
    <w:p>
      <w:pPr>
        <w:keepLines w:val="0"/>
      </w:pPr>
      <w:r>
        <w:rPr>
          <w:rFonts w:ascii="Noto Sans" w:hAnsi="Noto Sans" w:eastAsia="Noto Sans TC" w:cs="Noto Sans"/>
          <w:b w:val="0"/>
        </w:rPr>
        <w:t>Ketentuan ini tidak mengecualikan tanggung jawab yang tidak boleh dikecualikan berdasarkan hukum, tidak membatasi tanggung jawab yang wajib ditanggung berdasarkan hukum akibat kesengajaan atau kelalaian berat, dan tidak mengurangi hak konsumen yang bersifat wajib yang Anda miliki berdasarkan hukum.</w:t>
      </w:r>
    </w:p>
    <w:p>
      <w:pPr>
        <w:pStyle w:val="Heading1"/>
        <w:keepLines w:val="0"/>
      </w:pPr>
      <w:r>
        <w:rPr>
          <w:rFonts w:ascii="Noto Sans" w:hAnsi="Noto Sans" w:eastAsia="Noto Sans TC" w:cs="Noto Sans"/>
          <w:b w:val="0"/>
        </w:rPr>
        <w:t>8. Penghentian penggunaan dan perubahan ketentuan</w:t>
      </w:r>
    </w:p>
    <w:p>
      <w:pPr>
        <w:keepLines w:val="0"/>
      </w:pPr>
      <w:r>
        <w:rPr>
          <w:rFonts w:ascii="Noto Sans" w:hAnsi="Noto Sans" w:eastAsia="Noto Sans TC" w:cs="Noto Sans"/>
          <w:b w:val="0"/>
        </w:rPr>
        <w:t>Anda dapat berhenti menggunakan dan mencopot pemasangan perangkat lunak kapan saja. Sebelum mencopot pemasangan, pastikan arsip dan berkas keluaran penting telah disimpan dengan baik; cara pembersihan secara spesifik mengacu pada petunjuk resmi platform terkait.</w:t>
      </w:r>
    </w:p>
    <w:p>
      <w:pPr>
        <w:keepLines w:val="0"/>
      </w:pPr>
      <w:r>
        <w:rPr>
          <w:rFonts w:ascii="Noto Sans" w:hAnsi="Noto Sans" w:eastAsia="Noto Sans TC" w:cs="Noto Sans"/>
          <w:b w:val="0"/>
        </w:rPr>
        <w:t>Kami dapat memperbarui ketentuan ini karena perubahan hukum, keamanan, aturan platform, atau fitur, serta mencantumkan versi dan tanggal di situs resmi. Perubahan penting akan diberitahukan dengan cara yang wajar; untuk perubahan yang menurut hukum memerlukan persetujuan tegas ulang, persetujuan akan diperoleh secara terpisah.</w:t>
      </w:r>
    </w:p>
    <w:p>
      <w:pPr>
        <w:pStyle w:val="Heading1"/>
        <w:keepLines w:val="0"/>
      </w:pPr>
      <w:r>
        <w:rPr>
          <w:rFonts w:ascii="Noto Sans" w:hAnsi="Noto Sans" w:eastAsia="Noto Sans TC" w:cs="Noto Sans"/>
          <w:b w:val="0"/>
        </w:rPr>
        <w:t>9. Hukum dan sengketa</w:t>
      </w:r>
    </w:p>
    <w:p>
      <w:pPr>
        <w:keepLines w:val="0"/>
      </w:pPr>
      <w:r>
        <w:rPr>
          <w:rFonts w:ascii="Noto Sans" w:hAnsi="Noto Sans" w:eastAsia="Noto Sans TC" w:cs="Noto Sans"/>
          <w:b w:val="0"/>
        </w:rPr>
        <w:t>Tanpa memengaruhi hak konsumen yang bersifat wajib yang diberikan kepada Anda oleh hukum yang berlaku, ketentuan ini tunduk pada hukum Republik Rakyat Tiongkok. Kedua pihak harus mengutamakan penyelesaian melalui musyawarah; jika tidak terselesaikan, gugatan dapat diajukan sesuai hukum kepada Pengadilan Rakyat yang berwenang di tempat kedudukan penyedia layanan. Jika hukum yang bersifat wajib di tempat pengguna berada menentukan lain, ketentuan hukum tersebut berlaku.</w:t>
      </w:r>
    </w:p>
    <w:p>
      <w:pPr>
        <w:keepLines w:val="0"/>
      </w:pPr>
      <w:r>
        <w:rPr>
          <w:rFonts w:ascii="Noto Sans" w:hAnsi="Noto Sans" w:eastAsia="Noto Sans TC" w:cs="Noto Sans"/>
          <w:b w:val="0"/>
        </w:rPr>
        <w:t>Jika sebagian ketentuan ini tidak sah, keabsahan ketentuan lainnya tidak terpengaruh.</w:t>
      </w:r>
    </w:p>
    <w:p>
      <w:pPr>
        <w:pStyle w:val="Heading1"/>
        <w:keepLines w:val="0"/>
      </w:pPr>
      <w:r>
        <w:rPr>
          <w:rFonts w:ascii="Noto Sans" w:hAnsi="Noto Sans" w:eastAsia="Noto Sans TC" w:cs="Noto Sans"/>
          <w:b w:val="0"/>
        </w:rPr>
        <w:t>10. Hubungi kami</w:t>
      </w:r>
    </w:p>
    <w:p>
      <w:pPr>
        <w:keepLines w:val="0"/>
      </w:pPr>
      <w:r>
        <w:rPr>
          <w:rFonts w:ascii="Noto Sans" w:hAnsi="Noto Sans" w:eastAsia="Noto Sans TC" w:cs="Noto Sans"/>
          <w:b w:val="0"/>
        </w:rPr>
        <w:t xml:space="preserve">Untuk pertanyaan mengenai ketentuan, produk, privasi, atau keamanan, hubungi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atau kunjungi Pusat Layanan Pelanggan Resmi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Ketentuan Layanan DAWNBLOOM Archive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