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Penggunaan DAWNBLOOM AI</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pStyle w:val="Heading1"/>
        <w:keepLines w:val="0"/>
      </w:pPr>
      <w:r>
        <w:rPr>
          <w:rFonts w:ascii="Noto Sans" w:hAnsi="Noto Sans" w:eastAsia="Noto Sans TC" w:cs="Noto Sans"/>
          <w:b w:val="0"/>
        </w:rPr>
        <w:t>1. Penyedia, nama, dan ruang lingkup penerapan</w:t>
      </w:r>
    </w:p>
    <w:p>
      <w:pPr>
        <w:keepLines w:val="0"/>
      </w:pPr>
      <w:r>
        <w:rPr>
          <w:rFonts w:ascii="Noto Sans" w:hAnsi="Noto Sans" w:eastAsia="Noto Sans TC" w:cs="Noto Sans"/>
          <w:b w:val="0"/>
        </w:rPr>
        <w:t>Layanan ini disediakan oleh 上海追光智创文化传媒有限公司. DAWNBLOOM AI merupakan merek sistem interaksi cerdas dan layanan teknologi perusahaan kami, sedangkan DAWNBLOOM Fairy merupakan pendamping cerdas dan sosok interaksi bagi pengguna dalam sistem layanan yang sama. DAWNBLOOM AI 2.0 menunjukkan versi publik sistem layanan cerdas tersebut, bukan berarti perusahaan kami telah melatih model bahasa besar dasar secara mandiri. Ketentuan ini berlaku bersama Ketentuan Layanan DAWNBLOOM, Kebijakan Privasi, Pedoman Pemain, dan kebijakan lain yang berlaku; ketentuan ini hanya mengatur hal khusus terkait layanan cerdas dan tidak mengurangi hak berdasarkan hukum.</w:t>
      </w:r>
    </w:p>
    <w:p>
      <w:pPr>
        <w:pStyle w:val="Heading1"/>
        <w:keepLines w:val="0"/>
      </w:pPr>
      <w:r>
        <w:rPr>
          <w:rFonts w:ascii="Noto Sans" w:hAnsi="Noto Sans" w:eastAsia="Noto Sans TC" w:cs="Noto Sans"/>
          <w:b w:val="0"/>
        </w:rPr>
        <w:t>2. Isi layanan dan batas dukungan bahasa</w:t>
      </w:r>
    </w:p>
    <w:p>
      <w:pPr>
        <w:keepLines w:val="0"/>
      </w:pPr>
      <w:r>
        <w:rPr>
          <w:rFonts w:ascii="Noto Sans" w:hAnsi="Noto Sans" w:eastAsia="Noto Sans TC" w:cs="Noto Sans"/>
          <w:b w:val="0"/>
        </w:rPr>
        <w:t>Layanan terbatas pada tanya jawab mengenai pengetahuan game dan produk yang tersedia untuk publik, komunikasi teks dalam bahasa alami, panduan layanan pemain, serta kemampuan antarmuka Intelligent UI yang benar-benar telah tersedia; dukungan bahasa situs resmi tidak memperluas cakupan bahasa klien game atau masing-masing dari enam perangkat lunak. Saat ini tidak tersedia pembuatan atau penyuntingan gambar, pembuatan PDF, Word, slide presentasi, lembar kerja, maupun otomatisasi perkantoran umum. Versi situs resmi termasuk dalam sistem 20 bahasa situs resmi; versi dalam game tetap terbatas pada empat bahasa: Mandarin, Inggris, Jepang, dan Korea. Dukungan suatu bahasa tidak berarti tersedianya layanan pelanggan manusia atau pendapat hukum profesional dalam bahasa tersebut.</w:t>
      </w:r>
    </w:p>
    <w:p>
      <w:pPr>
        <w:pStyle w:val="Heading1"/>
        <w:keepLines w:val="0"/>
      </w:pPr>
      <w:r>
        <w:rPr>
          <w:rFonts w:ascii="Noto Sans" w:hAnsi="Noto Sans" w:eastAsia="Noto Sans TC" w:cs="Noto Sans"/>
          <w:b w:val="0"/>
        </w:rPr>
        <w:t>3. Pengetahuan publik dan informasi yang dilindungi</w:t>
      </w:r>
    </w:p>
    <w:p>
      <w:pPr>
        <w:keepLines w:val="0"/>
      </w:pPr>
      <w:r>
        <w:rPr>
          <w:rFonts w:ascii="Noto Sans" w:hAnsi="Noto Sans" w:eastAsia="Noto Sans TC" w:cs="Noto Sans"/>
          <w:b w:val="0"/>
        </w:rPr>
        <w:t>Tanya jawab pengetahuan terbatas pada materi game, produk, dan layanan pelanggan yang telah diizinkan untuk dipublikasikan. Alur cerita, misi, peta, probabilitas, rumus, perencanaan internal, informasi GM, langkah keamanan, dan materi eksploitasi kerentanan yang belum dipublikasikan tidak dibuka kepada pengguna. Tanya jawab tidak boleh digunakan untuk mengekstraksi materi yang dilindungi.</w:t>
      </w:r>
    </w:p>
    <w:p>
      <w:pPr>
        <w:pStyle w:val="Heading1"/>
        <w:keepLines w:val="0"/>
      </w:pPr>
      <w:r>
        <w:rPr>
          <w:rFonts w:ascii="Noto Sans" w:hAnsi="Noto Sans" w:eastAsia="Noto Sans TC" w:cs="Noto Sans"/>
          <w:b w:val="0"/>
        </w:rPr>
        <w:t>4. Intelligent UI dan konfirmasi pengguna</w:t>
      </w:r>
    </w:p>
    <w:p>
      <w:pPr>
        <w:keepLines w:val="0"/>
      </w:pPr>
      <w:r>
        <w:rPr>
          <w:rFonts w:ascii="Noto Sans" w:hAnsi="Noto Sans" w:eastAsia="Noto Sans TC" w:cs="Noto Sans"/>
          <w:b w:val="0"/>
        </w:rPr>
        <w:t>Intelligent UI menggabungkan jawaban dengan kartu informasi interaktif, akses fitur, dan antarmuka konfirmasi. Informasi makhluk fantasi, perlengkapan, barang, catatan game pribadi, dan keamanan akun hanya diberikan sejauh fitur tersebut telah tersedia, pengguna yang bersangkutan telah memberikan otorisasi yang sah, serta sistem backend telah mengonfirmasi identitas dan kewenangan terkait. Munculnya jawaban AI, kartu, atau tombol tidak berarti tindakan telah dilaksanakan; tindakan sensitif harus melalui verifikasi resmi dan konfirmasi yang diperlukan, serta mengacu pada hasil sistem. Sistem kewenangan tidak boleh dilewati untuk mengubah data pemain atau membaca informasi nonpublik milik orang lain. Data demonstrasi yang ditandai dengan jelas bukan catatan pengguna yang bersangkutan dan tidak membuktikan keberhasilan pencarian atau tindakan nyata.</w:t>
      </w:r>
    </w:p>
    <w:p>
      <w:pPr>
        <w:pStyle w:val="Heading1"/>
        <w:keepLines w:val="0"/>
      </w:pPr>
      <w:r>
        <w:rPr>
          <w:rFonts w:ascii="Noto Sans" w:hAnsi="Noto Sans" w:eastAsia="Noto Sans TC" w:cs="Noto Sans"/>
          <w:b w:val="0"/>
        </w:rPr>
        <w:t>5. Keakuratan keluaran dan verifikasi informasi penting</w:t>
      </w:r>
    </w:p>
    <w:p>
      <w:pPr>
        <w:keepLines w:val="0"/>
      </w:pPr>
      <w:r>
        <w:rPr>
          <w:rFonts w:ascii="Noto Sans" w:hAnsi="Noto Sans" w:eastAsia="Noto Sans TC" w:cs="Noto Sans"/>
          <w:b w:val="0"/>
        </w:rPr>
        <w:t xml:space="preserve">Jawaban AI dapat mengandung kesalahan pemahaman, kekurangan, atau keterlambatan informasi, dan tidak menggantikan pengumuman resmi, aturan game, ketentuan produk dan pengembalian dana, catatan yang diverifikasi berdasarkan otorisasi, atau hasil peninjauan manusia. Pengguna harus memverifikasi informasi penting secara mandiri dan dapat melaporkan kesalahan atau mengajukan keberatan melalui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saran AI tidak dengan sendirinya mengubah hak pengguna yang telah ada atau upaya pemulihan berdasarkan hukum. AI tidak membuat keputusan akhir mengenai urusan hukum, medis, keuangan, atau urusan profesional lainnya.</w:t>
      </w:r>
    </w:p>
    <w:p>
      <w:pPr>
        <w:pStyle w:val="Heading1"/>
        <w:keepLines w:val="0"/>
      </w:pPr>
      <w:r>
        <w:rPr>
          <w:rFonts w:ascii="Noto Sans" w:hAnsi="Noto Sans" w:eastAsia="Noto Sans TC" w:cs="Noto Sans"/>
          <w:b w:val="0"/>
        </w:rPr>
        <w:t>6. Hak dan tanggung jawab atas masukan dan keluaran</w:t>
      </w:r>
    </w:p>
    <w:p>
      <w:pPr>
        <w:keepLines w:val="0"/>
      </w:pPr>
      <w:r>
        <w:rPr>
          <w:rFonts w:ascii="Noto Sans" w:hAnsi="Noto Sans" w:eastAsia="Noto Sans TC" w:cs="Noto Sans"/>
          <w:b w:val="0"/>
        </w:rPr>
        <w:t>Pengguna harus berhak memberikan konten masukan dan tidak boleh mengirimkan informasi yang melanggar hak orang lain atau hukum. Pengguna bertanggung jawab atas keabsahan penggunaan dan penyebaran keluaran serta verifikasi yang diperlukan. Pembuatan jawaban oleh perusahaan kami tidak memberikan hak atas karya, merek dagang, atau data pribadi pihak ketiga; hak pengguna atas keluaran yang ada berdasarkan hukum dan hak lain berdasarkan hukum tidak dikesampingkan oleh ketentuan ini.</w:t>
      </w:r>
    </w:p>
    <w:p>
      <w:pPr>
        <w:pStyle w:val="Heading1"/>
        <w:keepLines w:val="0"/>
      </w:pPr>
      <w:r>
        <w:rPr>
          <w:rFonts w:ascii="Noto Sans" w:hAnsi="Noto Sans" w:eastAsia="Noto Sans TC" w:cs="Noto Sans"/>
          <w:b w:val="0"/>
        </w:rPr>
        <w:t>7. Penggunaan yang aman dan larangan penyalahgunaan</w:t>
      </w:r>
    </w:p>
    <w:p>
      <w:pPr>
        <w:keepLines w:val="0"/>
      </w:pPr>
      <w:r>
        <w:rPr>
          <w:rFonts w:ascii="Noto Sans" w:hAnsi="Noto Sans" w:eastAsia="Noto Sans TC" w:cs="Noto Sans"/>
          <w:b w:val="0"/>
        </w:rPr>
        <w:t>Dilarang melakukan serangan, mengakses secara berulang dengan niat jahat, menyamar sebagai orang lain, melewati kode verifikasi atau kewenangan, mengirimkan instruksi berbahaya, mencuri konten nonpublik, atau membuat janji resmi palsu. Jangan memberikan kata sandi, kode verifikasi sekali pakai lengkap, kata sandi pembayaran, token, atau informasi sensitif lain yang tidak diperlukan.</w:t>
      </w:r>
    </w:p>
    <w:p>
      <w:pPr>
        <w:pStyle w:val="Heading1"/>
        <w:keepLines w:val="0"/>
      </w:pPr>
      <w:r>
        <w:rPr>
          <w:rFonts w:ascii="Noto Sans" w:hAnsi="Noto Sans" w:eastAsia="Noto Sans TC" w:cs="Noto Sans"/>
          <w:b w:val="0"/>
        </w:rPr>
        <w:t>8. Data akun dan tindakan dalam game</w:t>
      </w:r>
    </w:p>
    <w:p>
      <w:pPr>
        <w:keepLines w:val="0"/>
      </w:pPr>
      <w:r>
        <w:rPr>
          <w:rFonts w:ascii="Noto Sans" w:hAnsi="Noto Sans" w:eastAsia="Noto Sans TC" w:cs="Noto Sans"/>
          <w:b w:val="0"/>
        </w:rPr>
        <w:t>Makhluk fantasi, perlengkapan, barang, aset, dan catatan pribadi hanya dapat dilihat dalam cakupan otorisasi sah dari pengguna yang bersangkutan dan verifikasi backend. AI tidak memperoleh kewenangan GM dan tidak secara langsung mengubah aset, sanksi, atau mekanisme permainan resmi; pemulihan, sengketa, dan keberatan diverifikasi melalui prosedur resmi.</w:t>
      </w:r>
    </w:p>
    <w:p>
      <w:pPr>
        <w:pStyle w:val="Heading1"/>
        <w:keepLines w:val="0"/>
      </w:pPr>
      <w:r>
        <w:rPr>
          <w:rFonts w:ascii="Noto Sans" w:hAnsi="Noto Sans" w:eastAsia="Noto Sans TC" w:cs="Noto Sans"/>
          <w:b w:val="0"/>
        </w:rPr>
        <w:t>9. Anak di bawah umur</w:t>
      </w:r>
    </w:p>
    <w:p>
      <w:pPr>
        <w:keepLines w:val="0"/>
      </w:pPr>
      <w:r>
        <w:rPr>
          <w:rFonts w:ascii="Noto Sans" w:hAnsi="Noto Sans" w:eastAsia="Noto Sans TC" w:cs="Noto Sans"/>
          <w:b w:val="0"/>
        </w:rPr>
        <w:t>Akun dan layanan game tetap mengikuti persyaratan kelayakan yang sudah berlaku, yaitu telah berusia 18 tahun, dan persyaratan ini tidak dilonggarkan karena layanan AI. Akses materi publik tidak berarti izin untuk mendaftar atau menggunakan akun game. Penanganan informasi anak di bawah umur mengikuti persyaratan perlindungan yang berlaku; percakapan AI tidak menggantikan persetujuan wali atau verifikasi yang diwajibkan oleh hukum.</w:t>
      </w:r>
    </w:p>
    <w:p>
      <w:pPr>
        <w:pStyle w:val="Heading1"/>
        <w:keepLines w:val="0"/>
      </w:pPr>
      <w:r>
        <w:rPr>
          <w:rFonts w:ascii="Noto Sans" w:hAnsi="Noto Sans" w:eastAsia="Noto Sans TC" w:cs="Noto Sans"/>
          <w:b w:val="0"/>
        </w:rPr>
        <w:t>10. Model pihak ketiga dan pemrosesan data</w:t>
      </w:r>
    </w:p>
    <w:p>
      <w:pPr>
        <w:keepLines w:val="0"/>
      </w:pPr>
      <w:r>
        <w:rPr>
          <w:rFonts w:ascii="Noto Sans" w:hAnsi="Noto Sans" w:eastAsia="Noto Sans TC" w:cs="Noto Sans"/>
          <w:b w:val="0"/>
        </w:rPr>
        <w:t>Integrasi teknologi menggunakan kemampuan Qwen dari Alibaba Cloud Model Studio; integrasi model menggunakan endpoint wilayah Tokyo, Jepang. Wilayah endpoint tidak berarti seluruh data pengguna hanya diproses di Jepang dan tidak menggantikan verifikasi perjanjian layanan yang sebenarnya, log penyedia layanan, kontrol pelatihan, pengaturan retensi, dan kewajiban lintas batas. OpenAI Codex terlibat dalam pembangunan sistem pengetahuan, pengembangan fitur, desain interaksi, dan optimalisasi berkelanjutan; keterlibatan tersebut tidak secara otomatis memberinya akses ke data percakapan pengguna dan tidak berarti bahwa OpenAI Codex melatih model dasar Qwen. Masukan, konteks, log layanan, retensi, dan kontrol pelatihan secara spesifik mengacu pada Kebijakan Privasi DAWNBLOOM yang berlaku saat ini, pemberitahuan khusus yang berlaku, dan perjanjian layanan yang sebenarnya. Penjelasan privasi khusus AI masih dalam proses verifikasi; ketentuan ini tidak menggantikan konfirmasi fakta pemrosesan data. Model atau pemrosesan data pribadi terkait tidak akan dibuka sebelum pemberitahuan, otorisasi, dan verifikasi keamanan yang diperlukan selesai dilakukan.</w:t>
      </w:r>
    </w:p>
    <w:p>
      <w:pPr>
        <w:pStyle w:val="Heading1"/>
        <w:keepLines w:val="0"/>
      </w:pPr>
      <w:r>
        <w:rPr>
          <w:rFonts w:ascii="Noto Sans" w:hAnsi="Noto Sans" w:eastAsia="Noto Sans TC" w:cs="Noto Sans"/>
          <w:b w:val="0"/>
        </w:rPr>
        <w:t>11. Ketersediaan, gangguan, dan penyesuaian layanan</w:t>
      </w:r>
    </w:p>
    <w:p>
      <w:pPr>
        <w:keepLines w:val="0"/>
      </w:pPr>
      <w:r>
        <w:rPr>
          <w:rFonts w:ascii="Noto Sans" w:hAnsi="Noto Sans" w:eastAsia="Noto Sans TC" w:cs="Noto Sans"/>
          <w:b w:val="0"/>
        </w:rPr>
        <w:t>Fitur yang sebenarnya tersedia mengacu pada akses yang telah dibuka dan status layanan resmi. Pemeliharaan, kerusakan, insiden keamanan, keterbatasan kapasitas, atau gangguan penyedia dapat membatasi sebagian layanan; kami menanganinya sejauh diperlukan dan memberitahukan perubahan penting melalui saluran yang sesuai. Penghentian permintaan ke model tidak berarti penghapusan akun; hak atas pembelian yang telah ada dan upaya pemulihan berdasarkan hukum tidak otomatis menjadi tidak berlaku akibat pembatasan fitur AI.</w:t>
      </w:r>
    </w:p>
    <w:p>
      <w:pPr>
        <w:pStyle w:val="Heading1"/>
        <w:keepLines w:val="0"/>
      </w:pPr>
      <w:r>
        <w:rPr>
          <w:rFonts w:ascii="Noto Sans" w:hAnsi="Noto Sans" w:eastAsia="Noto Sans TC" w:cs="Noto Sans"/>
          <w:b w:val="0"/>
        </w:rPr>
        <w:t>12. Penanganan pelanggaran, keberatan, dan koreksi</w:t>
      </w:r>
    </w:p>
    <w:p>
      <w:pPr>
        <w:keepLines w:val="0"/>
      </w:pPr>
      <w:r>
        <w:rPr>
          <w:rFonts w:ascii="Noto Sans" w:hAnsi="Noto Sans" w:eastAsia="Noto Sans TC" w:cs="Noto Sans"/>
          <w:b w:val="0"/>
        </w:rPr>
        <w:t>Berdasarkan risiko yang sebenarnya, kami dapat menerapkan pembatasan laju akses, menangguhkan fitur cerdas terkait, atau menerapkan langkah dalam Pedoman Pemain, serta menyediakan saluran keberatan resmi. Pengguna dapat mengajukan permintaan koreksi dengan menyertakan jawaban spesifik, waktu pertanyaan, dan materi verifikasi yang diperlukan; harap tutupi informasi pribadi yang tidak terkait. Jawaban AI tidak dengan sendirinya merupakan keputusan sanksi.</w:t>
      </w:r>
    </w:p>
    <w:p>
      <w:pPr>
        <w:pStyle w:val="Heading1"/>
        <w:keepLines w:val="0"/>
      </w:pPr>
      <w:r>
        <w:rPr>
          <w:rFonts w:ascii="Noto Sans" w:hAnsi="Noto Sans" w:eastAsia="Noto Sans TC" w:cs="Noto Sans"/>
          <w:b w:val="0"/>
        </w:rPr>
        <w:t>13. Penghentian penggunaan dan hak atas data</w:t>
      </w:r>
    </w:p>
    <w:p>
      <w:pPr>
        <w:keepLines w:val="0"/>
      </w:pPr>
      <w:r>
        <w:rPr>
          <w:rFonts w:ascii="Noto Sans" w:hAnsi="Noto Sans" w:eastAsia="Noto Sans TC" w:cs="Noto Sans"/>
          <w:b w:val="0"/>
        </w:rPr>
        <w:t xml:space="preserve">Pengguna dapat menghentikan percakapan, menarik persetujuan yang dapat ditarik berdasarkan hukum, menghapus riwayat percakapan lokal, serta mengajukan permintaan akses, koreksi, penghapusan, pembatasan pemrosesan, dan pengaduan melalui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atau layanan pelanggan resmi. Penghapusan riwayat lokal tidak otomatis menghapus log layanan, tiket layanan operasional, atau catatan pihak ketiga yang disimpan berdasarkan hukum; penanganan selanjutnya dilakukan sesuai kategori data yang sebenarnya, kewajiban hukum, kebutuhan keamanan, dan sengketa yang belum selesai, tanpa memengaruhi hak yang telah ada. Penghentian penggunaan tidak membatalkan pengaduan, pengembalian dana, permintaan privasi, atau upaya pemulihan berdasarkan hukum yang telah ada.</w:t>
      </w:r>
    </w:p>
    <w:p>
      <w:pPr>
        <w:pStyle w:val="Heading1"/>
        <w:keepLines w:val="0"/>
      </w:pPr>
      <w:r>
        <w:rPr>
          <w:rFonts w:ascii="Noto Sans" w:hAnsi="Noto Sans" w:eastAsia="Noto Sans TC" w:cs="Noto Sans"/>
          <w:b w:val="0"/>
        </w:rPr>
        <w:t>14. Pembaruan, pengaduan, dan kontak</w:t>
      </w:r>
    </w:p>
    <w:p>
      <w:pPr>
        <w:keepLines w:val="0"/>
      </w:pPr>
      <w:r>
        <w:rPr>
          <w:rFonts w:ascii="Noto Sans" w:hAnsi="Noto Sans" w:eastAsia="Noto Sans TC" w:cs="Noto Sans"/>
          <w:b w:val="0"/>
        </w:rPr>
        <w:t xml:space="preserve">Perubahan penting pada ketentuan atau pemrosesan akan diberitahukan sesuai hukum yang berlaku dan melalui prosedur yang diperlukan, tanpa mengurangi secara retroaktif hak berdasarkan hukum yang telah timbul. Urusan hukum dan hak atas data: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layanan pelanggan dan koreksi: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insiden keamanan: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Alamat kontak resmi menurut hukum tetap mengikuti informasi hukum resmi.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Penggunaan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