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AI उपयोग की शर्तें</w:t>
      </w:r>
    </w:p>
    <w:p>
      <w:pPr>
        <w:keepLines w:val="0"/>
      </w:pPr>
      <w:r>
        <w:rPr>
          <w:rFonts w:ascii="Noto Sans" w:hAnsi="Noto Sans" w:eastAsia="Noto Sans TC" w:cs="Noto Sans Devanagari"/>
          <w:b w:val="0"/>
        </w:rPr>
        <w:t>संस्करण: V8</w:t>
      </w:r>
    </w:p>
    <w:p>
      <w:pPr>
        <w:keepLines w:val="0"/>
      </w:pPr>
      <w:r>
        <w:rPr>
          <w:rFonts w:ascii="Noto Sans" w:hAnsi="Noto Sans" w:eastAsia="Noto Sans TC" w:cs="Noto Sans Devanagari"/>
          <w:b w:val="0"/>
        </w:rPr>
        <w:t>संशोधन तिथि: 10 अक्टूबर 2026</w:t>
      </w:r>
    </w:p>
    <w:p>
      <w:pPr>
        <w:keepLines w:val="0"/>
      </w:pPr>
      <w:r>
        <w:rPr>
          <w:rFonts w:ascii="Noto Sans" w:hAnsi="Noto Sans" w:eastAsia="Noto Sans TC" w:cs="Noto Sans Devanagari"/>
          <w:b w:val="0"/>
        </w:rPr>
        <w:t>प्रभावी तिथि: 10 अक्टूबर 2026</w:t>
      </w:r>
    </w:p>
    <w:p>
      <w:pPr>
        <w:keepLines w:val="0"/>
      </w:pPr>
      <w:r>
        <w:rPr>
          <w:rFonts w:ascii="Noto Sans" w:hAnsi="Noto Sans" w:eastAsia="Noto Sans TC" w:cs="Noto Sans Devanagari"/>
          <w:b w:val="0"/>
        </w:rPr>
        <w:t>सेवा प्रदाता: 上海追光智创文化传媒有限公司</w:t>
      </w:r>
    </w:p>
    <w:p>
      <w:pPr>
        <w:pStyle w:val="Heading1"/>
        <w:keepLines w:val="0"/>
      </w:pPr>
      <w:r>
        <w:rPr>
          <w:rFonts w:ascii="Noto Sans" w:hAnsi="Noto Sans" w:eastAsia="Noto Sans TC" w:cs="Noto Sans Devanagari"/>
          <w:b w:val="0"/>
        </w:rPr>
        <w:t>1. सेवा प्रदाता, नाम और लागू दायरा</w:t>
      </w:r>
    </w:p>
    <w:p>
      <w:pPr>
        <w:keepLines w:val="0"/>
      </w:pPr>
      <w:r>
        <w:rPr>
          <w:rFonts w:ascii="Noto Sans" w:hAnsi="Noto Sans" w:eastAsia="Noto Sans TC" w:cs="Noto Sans Devanagari"/>
          <w:b w:val="0"/>
        </w:rPr>
        <w:t>यह सेवा 上海追光智创文化传媒有限公司 द्वारा प्रदान की जाती है। DAWNBLOOM AI हमारी कंपनी की बुद्धिमान संवाद प्रणाली और तकनीकी सेवाओं का ब्रांड है, जबकि DAWNBLOOM Fairy उसी सेवा व्यवस्था का उपयोगकर्ताओं के लिए बुद्धिमान साथी और संवादात्मक स्वरूप है। DAWNBLOOM AI 2.0 इस बुद्धिमान सेवा व्यवस्था के सार्वजनिक संस्करण को दर्शाता है; इसका अर्थ यह नहीं है कि हमारी कंपनी ने आधारभूत बड़े भाषा मॉडल को स्वतंत्र रूप से प्रशिक्षित किया है। ये शर्तें DAWNBLOOM सेवा की शर्तों, गोपनीयता नीति, खिलाड़ी आचार संहिता और अन्य लागू नीतियों के साथ लागू होती हैं; ये शर्तें केवल बुद्धिमान सेवाओं से संबंधित विशिष्ट विषयों को विनियमित करती हैं और वैधानिक अधिकारों को कम नहीं करतीं।</w:t>
      </w:r>
    </w:p>
    <w:p>
      <w:pPr>
        <w:pStyle w:val="Heading1"/>
        <w:keepLines w:val="0"/>
      </w:pPr>
      <w:r>
        <w:rPr>
          <w:rFonts w:ascii="Noto Sans" w:hAnsi="Noto Sans" w:eastAsia="Noto Sans TC" w:cs="Noto Sans Devanagari"/>
          <w:b w:val="0"/>
        </w:rPr>
        <w:t>2. सेवा की विषयवस्तु और भाषाई सीमाएँ</w:t>
      </w:r>
    </w:p>
    <w:p>
      <w:pPr>
        <w:keepLines w:val="0"/>
      </w:pPr>
      <w:r>
        <w:rPr>
          <w:rFonts w:ascii="Noto Sans" w:hAnsi="Noto Sans" w:eastAsia="Noto Sans TC" w:cs="Noto Sans Devanagari"/>
          <w:b w:val="0"/>
        </w:rPr>
        <w:t>सेवा सार्वजनिक गेम और उत्पाद संबंधी जानकारी पर प्रश्नोत्तर, प्राकृतिक भाषा में पाठ संवाद, खिलाड़ी सेवाओं के लिए मार्गदर्शन और वास्तव में उपलब्ध कराई गई Intelligent UI इंटरफ़ेस क्षमताओं तक सीमित है; आधिकारिक वेबसाइट का भाषा समर्थन गेम क्लाइंट या छह सॉफ़्टवेयर उत्पादों में से प्रत्येक की भाषाई सीमा का विस्तार नहीं करता। वर्तमान में चित्र निर्माण या संपादन, PDF, Word, स्लाइड या स्प्रेडशीट तैयार करने और सामान्य कार्यालय स्वचालन की सेवाएँ प्रदान नहीं की जातीं। वेबसाइट संस्करण आधिकारिक वेबसाइट की 20 भाषाओं वाली व्यवस्था में शामिल है; गेम के भीतर सेवा अब भी केवल चीनी, अंग्रेज़ी, जापानी और कोरियाई, इन चार भाषाओं तक सीमित है। किसी भाषा का समर्थन करने का अर्थ उस भाषा में मानव ग्राहक सहायता या पेशेवर कानूनी सलाह प्रदान करना नहीं है।</w:t>
      </w:r>
    </w:p>
    <w:p>
      <w:pPr>
        <w:pStyle w:val="Heading1"/>
        <w:keepLines w:val="0"/>
      </w:pPr>
      <w:r>
        <w:rPr>
          <w:rFonts w:ascii="Noto Sans" w:hAnsi="Noto Sans" w:eastAsia="Noto Sans TC" w:cs="Noto Sans Devanagari"/>
          <w:b w:val="0"/>
        </w:rPr>
        <w:t>3. सार्वजनिक जानकारी और संरक्षित सूचना</w:t>
      </w:r>
    </w:p>
    <w:p>
      <w:pPr>
        <w:keepLines w:val="0"/>
      </w:pPr>
      <w:r>
        <w:rPr>
          <w:rFonts w:ascii="Noto Sans" w:hAnsi="Noto Sans" w:eastAsia="Noto Sans TC" w:cs="Noto Sans Devanagari"/>
          <w:b w:val="0"/>
        </w:rPr>
        <w:t>जानकारी संबंधी प्रश्नोत्तर केवल गेम, उत्पाद और ग्राहक सहायता की उन सामग्रियों तक सीमित है जिन्हें सार्वजनिक करने की अनुमति दी गई है। अप्रकाशित कथानक, मिशन, मानचित्र, संभावनाएँ, सूत्र, आंतरिक योजनाएँ, GM जानकारी, सुरक्षा उपाय और कमजोरियों के दुरुपयोग संबंधी सामग्री उपयोगकर्ताओं को उपलब्ध नहीं कराई जाती। प्रश्नोत्तर का उपयोग संरक्षित सामग्री निकालने के लिए नहीं किया जा सकता।</w:t>
      </w:r>
    </w:p>
    <w:p>
      <w:pPr>
        <w:pStyle w:val="Heading1"/>
        <w:keepLines w:val="0"/>
      </w:pPr>
      <w:r>
        <w:rPr>
          <w:rFonts w:ascii="Noto Sans" w:hAnsi="Noto Sans" w:eastAsia="Noto Sans TC" w:cs="Noto Sans Devanagari"/>
          <w:b w:val="0"/>
        </w:rPr>
        <w:t>4. Intelligent UI और उपयोगकर्ता की पुष्टि</w:t>
      </w:r>
    </w:p>
    <w:p>
      <w:pPr>
        <w:keepLines w:val="0"/>
      </w:pPr>
      <w:r>
        <w:rPr>
          <w:rFonts w:ascii="Noto Sans" w:hAnsi="Noto Sans" w:eastAsia="Noto Sans TC" w:cs="Noto Sans Devanagari"/>
          <w:b w:val="0"/>
        </w:rPr>
        <w:t>Intelligent UI उत्तरों को संवादात्मक जानकारी कार्ड, सुविधाओं के प्रवेश बिंदु और पुष्टि इंटरफ़ेस के साथ जोड़ता है। काल्पनिक जीवों, उपकरणों, वस्तुओं, व्यक्तिगत गेम रिकॉर्ड और खाते की सुरक्षा संबंधी जानकारी केवल तभी और उतनी ही सीमा तक प्रदान की जाती है, जब संबंधित सुविधा उपलब्ध हो, संबंधित व्यक्ति ने वैध अनुमति दी हो और बैकएंड ने उसकी पहचान तथा संबंधित अनुमतियों की पुष्टि की हो। AI उत्तर, कार्ड या बटन का दिखाई देना यह नहीं दर्शाता कि कार्रवाई निष्पादित हो चुकी है; संवेदनशील कार्रवाइयों के लिए औपचारिक सत्यापन और आवश्यक पुष्टि अनिवार्य है, और प्रणाली का परिणाम निर्णायक होगा। अनुमति प्रणाली को दरकिनार करके खिलाड़ी डेटा में बदलाव करना या दूसरों की गैर-सार्वजनिक जानकारी पढ़ना निषिद्ध है। स्पष्ट रूप से चिह्नित प्रदर्शन डेटा संबंधित व्यक्ति का रिकॉर्ड नहीं है और वास्तविक जानकारी प्राप्त करने या कार्रवाई सफल होने का प्रमाण भी नहीं है।</w:t>
      </w:r>
    </w:p>
    <w:p>
      <w:pPr>
        <w:pStyle w:val="Heading1"/>
        <w:keepLines w:val="0"/>
      </w:pPr>
      <w:r>
        <w:rPr>
          <w:rFonts w:ascii="Noto Sans" w:hAnsi="Noto Sans" w:eastAsia="Noto Sans TC" w:cs="Noto Sans Devanagari"/>
          <w:b w:val="0"/>
        </w:rPr>
        <w:t>5. उत्तरों की सटीकता और महत्वपूर्ण जानकारी का सत्यापन</w:t>
      </w:r>
    </w:p>
    <w:p>
      <w:pPr>
        <w:keepLines w:val="0"/>
      </w:pPr>
      <w:r>
        <w:rPr>
          <w:rFonts w:ascii="Noto Sans" w:hAnsi="Noto Sans" w:eastAsia="Noto Sans TC" w:cs="Noto Sans Devanagari"/>
          <w:b w:val="0"/>
        </w:rPr>
        <w:t xml:space="preserve">AI उत्तरों में समझ संबंधी त्रुटियाँ, छूटी हुई जानकारी या सूचना में देरी हो सकती है; वे औपचारिक घोषणाओं, गेम नियमों, उत्पाद और धनवापसी की शर्तों, प्राधिकृत सत्यापन से गुज़रे रिकॉर्ड या मानव पुनरीक्षण के परिणामों का स्थान नहीं लेते। उपयोगकर्ताओं को महत्वपूर्ण जानकारी का स्वतंत्र रूप से सत्यापन करना चाहिए और वे </w:t>
      </w:r>
      <w:hyperlink r:id="rId11">
        <w:r>
          <w:rPr>
            <w:rFonts w:ascii="Noto Sans" w:hAnsi="Noto Sans" w:eastAsia="Noto Sans TC"/>
            <w:b w:val="0"/>
          </w:rPr>
          <w:t xml:space="preserve">support@dawnbloom.net</w:t>
        </w:r>
      </w:hyperlink>
      <w:r>
        <w:rPr>
          <w:rFonts w:ascii="Noto Sans" w:hAnsi="Noto Sans" w:eastAsia="Noto Sans TC" w:cs="Noto Sans Devanagari"/>
          <w:b w:val="0"/>
        </w:rPr>
        <w:t xml:space="preserve"> के माध्यम से त्रुटि की सूचना दे सकते हैं या अपील प्रस्तुत कर सकते हैं; AI की सलाह अपने आप मौजूदा उपयोगकर्ता अधिकारों या वैधानिक उपचारों को नहीं बदलती। AI कानूनी, चिकित्सकीय, वित्तीय या अन्य पेशेवर मामलों में अंतिम निर्णय नहीं करता।</w:t>
      </w:r>
    </w:p>
    <w:p>
      <w:pPr>
        <w:pStyle w:val="Heading1"/>
        <w:keepLines w:val="0"/>
      </w:pPr>
      <w:r>
        <w:rPr>
          <w:rFonts w:ascii="Noto Sans" w:hAnsi="Noto Sans" w:eastAsia="Noto Sans TC" w:cs="Noto Sans Devanagari"/>
          <w:b w:val="0"/>
        </w:rPr>
        <w:t>6. इनपुट और आउटपुट संबंधी अधिकार और जिम्मेदारियाँ</w:t>
      </w:r>
    </w:p>
    <w:p>
      <w:pPr>
        <w:keepLines w:val="0"/>
      </w:pPr>
      <w:r>
        <w:rPr>
          <w:rFonts w:ascii="Noto Sans" w:hAnsi="Noto Sans" w:eastAsia="Noto Sans TC" w:cs="Noto Sans Devanagari"/>
          <w:b w:val="0"/>
        </w:rPr>
        <w:t>उपयोगकर्ता के पास इनपुट सामग्री प्रदान करने का अधिकार होना चाहिए और वह दूसरों के अधिकारों का उल्लंघन करने वाली या गैरकानूनी जानकारी प्रस्तुत नहीं कर सकता। आउटपुट के उपयोग और प्रसार की वैधता तथा आवश्यक सत्यापन की जिम्मेदारी उपयोगकर्ता की है। उत्तर तैयार करने से हमारी कंपनी तीसरे पक्ष की कृतियों, ट्रेडमार्क या व्यक्तिगत जानकारी के संबंध में कोई अधिकार प्रदान नहीं करती; आउटपुट में कानून के अनुसार मौजूद उपयोगकर्ता अधिकारों और अन्य वैधानिक अधिकारों को इन शर्तों द्वारा अपवर्जित नहीं किया जाता।</w:t>
      </w:r>
    </w:p>
    <w:p>
      <w:pPr>
        <w:pStyle w:val="Heading1"/>
        <w:keepLines w:val="0"/>
      </w:pPr>
      <w:r>
        <w:rPr>
          <w:rFonts w:ascii="Noto Sans" w:hAnsi="Noto Sans" w:eastAsia="Noto Sans TC" w:cs="Noto Sans Devanagari"/>
          <w:b w:val="0"/>
        </w:rPr>
        <w:t>7. सुरक्षित उपयोग और दुरुपयोग का निषेध</w:t>
      </w:r>
    </w:p>
    <w:p>
      <w:pPr>
        <w:keepLines w:val="0"/>
      </w:pPr>
      <w:r>
        <w:rPr>
          <w:rFonts w:ascii="Noto Sans" w:hAnsi="Noto Sans" w:eastAsia="Noto Sans TC" w:cs="Noto Sans Devanagari"/>
          <w:b w:val="0"/>
        </w:rPr>
        <w:t>हमले करना, दुर्भावनापूर्ण ढंग से अत्यधिक अनुरोध करना, किसी और की पहचान का उपयोग करना, सत्यापन कोड या अनुमतियों को दरकिनार करना, दुर्भावनापूर्ण निर्देश प्रस्तुत करना, गैर-सार्वजनिक सामग्री चुराना या झूठे आधिकारिक वादे गढ़ना निषिद्ध है। कृपया पासवर्ड, पूरा एकबारगी सत्यापन कोड, भुगतान पासवर्ड, टोकन या अन्य अनावश्यक संवेदनशील जानकारी प्रदान न करें।</w:t>
      </w:r>
    </w:p>
    <w:p>
      <w:pPr>
        <w:pStyle w:val="Heading1"/>
        <w:keepLines w:val="0"/>
      </w:pPr>
      <w:r>
        <w:rPr>
          <w:rFonts w:ascii="Noto Sans" w:hAnsi="Noto Sans" w:eastAsia="Noto Sans TC" w:cs="Noto Sans Devanagari"/>
          <w:b w:val="0"/>
        </w:rPr>
        <w:t>8. खाते की जानकारी और गेम कार्रवाइयाँ</w:t>
      </w:r>
    </w:p>
    <w:p>
      <w:pPr>
        <w:keepLines w:val="0"/>
      </w:pPr>
      <w:r>
        <w:rPr>
          <w:rFonts w:ascii="Noto Sans" w:hAnsi="Noto Sans" w:eastAsia="Noto Sans TC" w:cs="Noto Sans Devanagari"/>
          <w:b w:val="0"/>
        </w:rPr>
        <w:t>व्यक्तिगत काल्पनिक जीव, उपकरण, वस्तुएँ, परिसंपत्तियाँ और रिकॉर्ड केवल संबंधित व्यक्ति की वैध अनुमति और बैकएंड सत्यापन की सीमा के भीतर ही देखे जा सकते हैं। AI को GM अनुमतियाँ प्राप्त नहीं होतीं और वह परिसंपत्तियों, दंड या औपचारिक गेमप्ले में सीधे बदलाव नहीं करता; बहाली, विवाद और अपील का सत्यापन औपचारिक प्रक्रियाओं के माध्यम से किया जाता है।</w:t>
      </w:r>
    </w:p>
    <w:p>
      <w:pPr>
        <w:pStyle w:val="Heading1"/>
        <w:keepLines w:val="0"/>
      </w:pPr>
      <w:r>
        <w:rPr>
          <w:rFonts w:ascii="Noto Sans" w:hAnsi="Noto Sans" w:eastAsia="Noto Sans TC" w:cs="Noto Sans Devanagari"/>
          <w:b w:val="0"/>
        </w:rPr>
        <w:t>9. नाबालिग</w:t>
      </w:r>
    </w:p>
    <w:p>
      <w:pPr>
        <w:keepLines w:val="0"/>
      </w:pPr>
      <w:r>
        <w:rPr>
          <w:rFonts w:ascii="Noto Sans" w:hAnsi="Noto Sans" w:eastAsia="Noto Sans TC" w:cs="Noto Sans Devanagari"/>
          <w:b w:val="0"/>
        </w:rPr>
        <w:t>खाते और गेम सेवाओं के लिए मौजूदा न्यूनतम 18 वर्ष की आयु की पात्रता आवश्यकता लागू रहती है और AI सेवा के कारण इसमें ढील नहीं दी जाती। सार्वजनिक सामग्री तक पहुँच का अर्थ गेम खाते के पंजीकरण या उपयोग की अनुमति नहीं है। नाबालिगों की जानकारी से संबंधित मामलों में लागू संरक्षण आवश्यकताओं का पालन किया जाता है; कानून के अनुसार आवश्यक अभिभावक की सहमति या सत्यापन का स्थान AI संवाद नहीं ले सकता।</w:t>
      </w:r>
    </w:p>
    <w:p>
      <w:pPr>
        <w:pStyle w:val="Heading1"/>
        <w:keepLines w:val="0"/>
      </w:pPr>
      <w:r>
        <w:rPr>
          <w:rFonts w:ascii="Noto Sans" w:hAnsi="Noto Sans" w:eastAsia="Noto Sans TC" w:cs="Noto Sans Devanagari"/>
          <w:b w:val="0"/>
        </w:rPr>
        <w:t>10. तीसरे पक्ष के मॉडल और डेटा प्रसंस्करण</w:t>
      </w:r>
    </w:p>
    <w:p>
      <w:pPr>
        <w:keepLines w:val="0"/>
      </w:pPr>
      <w:r>
        <w:rPr>
          <w:rFonts w:ascii="Noto Sans" w:hAnsi="Noto Sans" w:eastAsia="Noto Sans TC" w:cs="Noto Sans Devanagari"/>
          <w:b w:val="0"/>
        </w:rPr>
        <w:t>तकनीकी एकीकरण में Alibaba Cloud Model Studio की Qwen क्षमताओं का उपयोग किया जाता है; मॉडल तक पहुँच के लिए जापान के टोक्यो क्षेत्र का एंडपॉइंट उपयोग किया जाता है। एंडपॉइंट का क्षेत्र यह नहीं दर्शाता कि सभी उपयोगकर्ता डेटा केवल जापान में प्रसंस्कृत होते हैं, और न ही यह वास्तविक सेवा समझौतों, सेवा प्रदाता के लॉग, प्रशिक्षण नियंत्रणों, डेटा रखने की सेटिंग और सीमा-पार दायित्वों के सत्यापन का स्थान लेता है। OpenAI Codex जानकारी व्यवस्था के निर्माण, सुविधा विकास, संवादात्मक डिज़ाइन और निरंतर सुधार में भाग लेता है; इससे उसे अपने आप उपयोगकर्ता चैट डेटा प्राप्त नहीं होता और इसका अर्थ यह भी नहीं है कि उसने Qwen आधारभूत मॉडल को प्रशिक्षित किया है। विशिष्ट इनपुट, संदर्भ, सेवा लॉग, डेटा रखने और प्रशिक्षण नियंत्रणों के संबंध में वर्तमान «DAWNBLOOM गोपनीयता नीति», लागू विशिष्ट सूचनाएँ और वास्तविक सेवा समझौते निर्णायक होंगे। AI-विशिष्ट गोपनीयता विवरण का सत्यापन अभी जारी है; ये शर्तें डेटा प्रसंस्करण के वास्तविक तथ्यों की पुष्टि का स्थान नहीं लेतीं। आवश्यक सूचना, अनुमति और सुरक्षा सत्यापन पूरा हुए बिना संबंधित मॉडल या व्यक्तिगत जानकारी का प्रसंस्करण उपलब्ध नहीं कराया जाएगा।</w:t>
      </w:r>
    </w:p>
    <w:p>
      <w:pPr>
        <w:pStyle w:val="Heading1"/>
        <w:keepLines w:val="0"/>
      </w:pPr>
      <w:r>
        <w:rPr>
          <w:rFonts w:ascii="Noto Sans" w:hAnsi="Noto Sans" w:eastAsia="Noto Sans TC" w:cs="Noto Sans Devanagari"/>
          <w:b w:val="0"/>
        </w:rPr>
        <w:t>11. उपलब्धता, असामान्य स्थितियाँ और सेवा में समायोजन</w:t>
      </w:r>
    </w:p>
    <w:p>
      <w:pPr>
        <w:keepLines w:val="0"/>
      </w:pPr>
      <w:r>
        <w:rPr>
          <w:rFonts w:ascii="Noto Sans" w:hAnsi="Noto Sans" w:eastAsia="Noto Sans TC" w:cs="Noto Sans Devanagari"/>
          <w:b w:val="0"/>
        </w:rPr>
        <w:t>वास्तविक सुविधाएँ उपलब्ध कराए गए प्रवेश बिंदुओं और औपचारिक सेवा स्थिति के अनुसार निर्धारित होती हैं। रखरखाव, खराबी, सुरक्षा घटनाएँ, क्षमता संबंधी समस्याएँ या आपूर्तिकर्ता की असामान्य स्थितियाँ कुछ सेवाओं को सीमित कर सकती हैं; हम आवश्यकता के अनुसार कार्रवाई करते हैं और महत्वपूर्ण परिवर्तनों की सूचना उपयुक्त माध्यमों से देते हैं। मॉडल अनुरोध बंद करना खाते को बंद करना नहीं है, और AI सुविधाओं पर प्रतिबंध के कारण मौजूदा खरीद संबंधी अधिकार और वैधानिक उपचार स्वतः निष्प्रभावी नहीं होते।</w:t>
      </w:r>
    </w:p>
    <w:p>
      <w:pPr>
        <w:pStyle w:val="Heading1"/>
        <w:keepLines w:val="0"/>
      </w:pPr>
      <w:r>
        <w:rPr>
          <w:rFonts w:ascii="Noto Sans" w:hAnsi="Noto Sans" w:eastAsia="Noto Sans TC" w:cs="Noto Sans Devanagari"/>
          <w:b w:val="0"/>
        </w:rPr>
        <w:t>12. उल्लंघन पर कार्रवाई, अपील और त्रुटि सुधार</w:t>
      </w:r>
    </w:p>
    <w:p>
      <w:pPr>
        <w:keepLines w:val="0"/>
      </w:pPr>
      <w:r>
        <w:rPr>
          <w:rFonts w:ascii="Noto Sans" w:hAnsi="Noto Sans" w:eastAsia="Noto Sans TC" w:cs="Noto Sans Devanagari"/>
          <w:b w:val="0"/>
        </w:rPr>
        <w:t>वास्तविक जोखिम के आधार पर अनुरोधों की दर सीमित की जा सकती है, संबंधित बुद्धिमान सुविधाएँ निलंबित की जा सकती हैं या खिलाड़ी आचार संहिता में निर्धारित उपाय लागू किए जा सकते हैं, और औपचारिक अपील माध्यम प्रदान किए जाते हैं। उपयोगकर्ता विशिष्ट उत्तर, प्रश्न का समय और सत्यापन के लिए आवश्यक सामग्री प्रस्तुत करके सुधार का अनुरोध कर सकते हैं; कृपया असंबंधित व्यक्तिगत जानकारी ढक दें। AI उत्तर अपने आप दंड संबंधी निर्णय नहीं बनता।</w:t>
      </w:r>
    </w:p>
    <w:p>
      <w:pPr>
        <w:pStyle w:val="Heading1"/>
        <w:keepLines w:val="0"/>
      </w:pPr>
      <w:r>
        <w:rPr>
          <w:rFonts w:ascii="Noto Sans" w:hAnsi="Noto Sans" w:eastAsia="Noto Sans TC" w:cs="Noto Sans Devanagari"/>
          <w:b w:val="0"/>
        </w:rPr>
        <w:t>13. उपयोग बंद करना और डेटा संबंधी अधिकार</w:t>
      </w:r>
    </w:p>
    <w:p>
      <w:pPr>
        <w:keepLines w:val="0"/>
      </w:pPr>
      <w:r>
        <w:rPr>
          <w:rFonts w:ascii="Noto Sans" w:hAnsi="Noto Sans" w:eastAsia="Noto Sans TC" w:cs="Noto Sans Devanagari"/>
          <w:b w:val="0"/>
        </w:rPr>
        <w:t xml:space="preserve">उपयोगकर्ता चैट बंद कर सकते हैं, कानून के अनुसार वापस ली जा सकने वाली सहमति वापस ले सकते हैं, स्थानीय चैट रिकॉर्ड साफ़ कर सकते हैं और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या औपचारिक ग्राहक सहायता के माध्यम से जानकारी प्राप्त करने, सुधार, विलोपन, प्रसंस्करण पर प्रतिबंध और शिकायत के अनुरोध प्रस्तुत कर सकते हैं। स्थानीय रिकॉर्ड साफ़ करने से कानून के अनुसार रखे गए सेवा लॉग, सेवा टिकट या तीसरे पक्ष के रिकॉर्ड अपने आप नहीं मिटते; आगे की कार्रवाई वास्तविक डेटा श्रेणी, वैधानिक दायित्वों, सुरक्षा और लंबित विवादों की आवश्यकताओं के अनुसार की जाती है और मौजूदा अधिकार प्रभावित नहीं होते। उपयोग बंद करने से मौजूदा शिकायतें, धनवापसी अनुरोध, गोपनीयता अनुरोध या वैधानिक उपचार निष्प्रभावी नहीं होते।</w:t>
      </w:r>
    </w:p>
    <w:p>
      <w:pPr>
        <w:pStyle w:val="Heading1"/>
        <w:keepLines w:val="0"/>
      </w:pPr>
      <w:r>
        <w:rPr>
          <w:rFonts w:ascii="Noto Sans" w:hAnsi="Noto Sans" w:eastAsia="Noto Sans TC" w:cs="Noto Sans Devanagari"/>
          <w:b w:val="0"/>
        </w:rPr>
        <w:t>14. अपडेट, शिकायतें और संपर्क</w:t>
      </w:r>
    </w:p>
    <w:p>
      <w:pPr>
        <w:keepLines w:val="0"/>
      </w:pPr>
      <w:r>
        <w:rPr>
          <w:rFonts w:ascii="Noto Sans" w:hAnsi="Noto Sans" w:eastAsia="Noto Sans TC" w:cs="Noto Sans Devanagari"/>
          <w:b w:val="0"/>
        </w:rPr>
        <w:t xml:space="preserve">शर्तों या प्रसंस्करण में महत्वपूर्ण परिवर्तनों की सूचना लागू कानून के अनुसार दी जाएगी और आवश्यक प्रक्रियाएँ पूरी की जाएँगी; पहले से स्थापित वैधानिक अधिकारों को पूर्वव्यापी रूप से कम नहीं किया जाएगा। कानूनी और डेटा संबंधी अधिकार: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ग्राहक सहायता और त्रुटि सुधार: </w:t>
      </w:r>
      <w:hyperlink r:id="rId11">
        <w:r>
          <w:rPr>
            <w:rFonts w:ascii="Noto Sans" w:hAnsi="Noto Sans" w:eastAsia="Noto Sans TC"/>
            <w:b w:val="0"/>
          </w:rPr>
          <w:t xml:space="preserve">support@dawnbloom.net</w:t>
        </w:r>
      </w:hyperlink>
      <w:r>
        <w:rPr>
          <w:rFonts w:ascii="Noto Sans" w:hAnsi="Noto Sans" w:eastAsia="Noto Sans TC" w:cs="Noto Sans Devanagari"/>
          <w:b w:val="0"/>
        </w:rPr>
        <w:t xml:space="preserve">; सुरक्षा घटनाएँ: </w:t>
      </w:r>
      <w:hyperlink r:id="rId13">
        <w:r>
          <w:rPr>
            <w:rFonts w:ascii="Noto Sans" w:hAnsi="Noto Sans" w:eastAsia="Noto Sans TC"/>
            <w:b w:val="0"/>
          </w:rPr>
          <w:t xml:space="preserve">security@dawnbloom.net</w:t>
        </w:r>
      </w:hyperlink>
      <w:r>
        <w:rPr>
          <w:rFonts w:ascii="Noto Sans" w:hAnsi="Noto Sans" w:eastAsia="Noto Sans TC" w:cs="Noto Sans Devanagari"/>
          <w:b w:val="0"/>
        </w:rPr>
        <w:t xml:space="preserve">। वैधानिक संपर्क पता औपचारिक कानूनी जानकारी में दिए गए पते के अनुसार रहेगा।</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AI उपयोग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