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Conditions d’utilisation de DAWNBLOOM Token</w:t>
      </w:r>
    </w:p>
    <w:p>
      <w:pPr>
        <w:keepLines w:val="0"/>
      </w:pPr>
      <w:r>
        <w:rPr>
          <w:rFonts w:ascii="Noto Sans" w:hAnsi="Noto Sans" w:eastAsia="Noto Sans TC" w:cs="Noto Sans"/>
          <w:b w:val="0"/>
        </w:rPr>
        <w:t>Version : V8</w:t>
      </w:r>
    </w:p>
    <w:p>
      <w:pPr>
        <w:keepLines w:val="0"/>
      </w:pPr>
      <w:r>
        <w:rPr>
          <w:rFonts w:ascii="Noto Sans" w:hAnsi="Noto Sans" w:eastAsia="Noto Sans TC" w:cs="Noto Sans"/>
          <w:b w:val="0"/>
        </w:rPr>
        <w:t>Date de révision : 10 octobre 2026</w:t>
      </w:r>
    </w:p>
    <w:p>
      <w:pPr>
        <w:keepLines w:val="0"/>
      </w:pPr>
      <w:r>
        <w:rPr>
          <w:rFonts w:ascii="Noto Sans" w:hAnsi="Noto Sans" w:eastAsia="Noto Sans TC" w:cs="Noto Sans"/>
          <w:b w:val="0"/>
        </w:rPr>
        <w:t>Date d’entrée en vigueur : 10 octobre 2026</w:t>
      </w:r>
    </w:p>
    <w:p>
      <w:pPr>
        <w:keepLines w:val="0"/>
      </w:pPr>
      <w:r>
        <w:rPr>
          <w:rFonts w:ascii="Noto Sans" w:hAnsi="Noto Sans" w:eastAsia="Noto Sans TC" w:cs="Noto Sans"/>
          <w:b w:val="0"/>
        </w:rPr>
        <w:t>Prestataire : 上海追光智创文化传媒有限公司</w:t>
      </w:r>
    </w:p>
    <w:p>
      <w:pPr>
        <w:keepLines w:val="0"/>
      </w:pPr>
      <w:r>
        <w:rPr>
          <w:rFonts w:ascii="Noto Sans" w:hAnsi="Noto Sans" w:eastAsia="Noto Sans TC" w:cs="Noto Sans"/>
          <w:b w:val="0"/>
        </w:rPr>
        <w:t>Bienvenue dans DAWNBLOOM Token. Les présentes conditions s’appliquent au téléchargement depuis les canaux officiels, à l’installation ou à l’utilisation de ce produit et des services officiels associés. Veuillez les lire au préalable ; si vous ne les acceptez pas, veuillez ne pas télécharger ni utiliser le produit.</w:t>
      </w:r>
    </w:p>
    <w:p>
      <w:pPr>
        <w:pStyle w:val="Heading1"/>
        <w:keepLines w:val="0"/>
      </w:pPr>
      <w:r>
        <w:rPr>
          <w:rFonts w:ascii="Noto Sans" w:hAnsi="Noto Sans" w:eastAsia="Noto Sans TC" w:cs="Noto Sans"/>
          <w:b w:val="0"/>
        </w:rPr>
        <w:t>Prestataire du service</w:t>
      </w:r>
    </w:p>
    <w:p>
      <w:pPr>
        <w:keepLines w:val="0"/>
      </w:pPr>
      <w:r>
        <w:rPr>
          <w:rFonts w:ascii="Noto Sans" w:hAnsi="Noto Sans" w:eastAsia="Noto Sans TC" w:cs="Noto Sans"/>
          <w:b w:val="0"/>
        </w:rPr>
        <w:t>上海追光智创文化传媒有限公司 · bureau 218, bâtiment 3, 336, route Tianjiao, nouvelle zone de Lingang, zone pilote de libre-échange de Chine (Shanghai), Chine</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Champ du produit et comptes</w:t>
      </w:r>
    </w:p>
    <w:p>
      <w:pPr>
        <w:keepLines w:val="0"/>
      </w:pPr>
      <w:r>
        <w:rPr>
          <w:rFonts w:ascii="Noto Sans" w:hAnsi="Noto Sans" w:eastAsia="Noto Sans TC" w:cs="Noto Sans"/>
          <w:b w:val="0"/>
        </w:rPr>
        <w:t>DAWNBLOOM Token propose des accès aux comptes DAWNBLOOM, aux vérifications de sécurité ainsi qu’à la communauté officielle et aux informations. La création, la connexion, l’association, la récupération et la suppression des comptes restent soumises aux règles correspondantes des comptes ; les règles du jeu et de la communauté s’appliquent de manière indépendante et les présentes conditions ne modifient pas leurs conditions de participation. Les codes dynamiques servent uniquement à la vérification sécurisée de l’identité ; ils ne constituent ni une monnaie, ni un actif, ni un titre attestant un rendement.</w:t>
      </w:r>
    </w:p>
    <w:p>
      <w:pPr>
        <w:pStyle w:val="Heading1"/>
        <w:keepLines w:val="0"/>
      </w:pPr>
      <w:r>
        <w:rPr>
          <w:rFonts w:ascii="Noto Sans" w:hAnsi="Noto Sans" w:eastAsia="Noto Sans TC" w:cs="Noto Sans"/>
          <w:b w:val="0"/>
        </w:rPr>
        <w:t>Codes de vérification et sécurité de l’appareil</w:t>
      </w:r>
    </w:p>
    <w:p>
      <w:pPr>
        <w:keepLines w:val="0"/>
      </w:pPr>
      <w:r>
        <w:rPr>
          <w:rFonts w:ascii="Noto Sans" w:hAnsi="Noto Sans" w:eastAsia="Noto Sans TC" w:cs="Noto Sans"/>
          <w:b w:val="0"/>
        </w:rPr>
        <w:t>Veuillez protéger vos mots de passe, vos informations d’association et vos codes dynamiques, et n’approuver que les vérifications que vous avez vous-même initiées. Les représentants officiels ne vous demanderont pas ces informations par message privé. En cas de perte de l’appareil, d’association anormale ou de suspicion de vol de compte, veuillez agir au plus vite par les canaux officiels de gestion des comptes ou du service client. L’heure de l’appareil, la sécurité du système et l’état du réseau peuvent influer sur la vérification ; ce produit ne peut pas garantir la prévention de tous les vols de compte, de toutes les escroqueries ou de tous les risques liés aux appareils.</w:t>
      </w:r>
    </w:p>
    <w:p>
      <w:pPr>
        <w:pStyle w:val="Heading1"/>
        <w:keepLines w:val="0"/>
      </w:pPr>
      <w:r>
        <w:rPr>
          <w:rFonts w:ascii="Noto Sans" w:hAnsi="Noto Sans" w:eastAsia="Noto Sans TC" w:cs="Noto Sans"/>
          <w:b w:val="0"/>
        </w:rPr>
        <w:t>Licence du logiciel</w:t>
      </w:r>
    </w:p>
    <w:p>
      <w:pPr>
        <w:keepLines w:val="0"/>
      </w:pPr>
      <w:r>
        <w:rPr>
          <w:rFonts w:ascii="Noto Sans" w:hAnsi="Noto Sans" w:eastAsia="Noto Sans TC" w:cs="Noto Sans"/>
          <w:b w:val="0"/>
        </w:rPr>
        <w:t>Sous réserve du respect des présentes conditions et du droit applicable, vous pouvez installer et utiliser la version officielle sur des appareils compatibles que vous possédez ou contrôlez légalement. Les droits de propriété intellectuelle sur le logiciel, la marque et les contenus associés restent la propriété de leurs titulaires. Les composants open source tiers sont fournis conformément à leurs licences respectives.</w:t>
      </w:r>
    </w:p>
    <w:p>
      <w:pPr>
        <w:pStyle w:val="Heading1"/>
        <w:keepLines w:val="0"/>
      </w:pPr>
      <w:r>
        <w:rPr>
          <w:rFonts w:ascii="Noto Sans" w:hAnsi="Noto Sans" w:eastAsia="Noto Sans TC" w:cs="Noto Sans"/>
          <w:b w:val="0"/>
        </w:rPr>
        <w:t>Utilisation licite et services tiers</w:t>
      </w:r>
    </w:p>
    <w:p>
      <w:pPr>
        <w:keepLines w:val="0"/>
      </w:pPr>
      <w:r>
        <w:rPr>
          <w:rFonts w:ascii="Noto Sans" w:hAnsi="Noto Sans" w:eastAsia="Noto Sans TC" w:cs="Noto Sans"/>
          <w:b w:val="0"/>
        </w:rPr>
        <w:t>Il est interdit de se faire passer pour une source officielle, de diffuser des logiciels malveillants, de voler des comptes, de porter atteinte aux droits d’autrui ou de compromettre la sécurité du service. Les actes autorisés par le droit applicable et les droits accordés par les licences open source ne sont pas limités par les présentes conditions. Les sites externes, les sources de contenus et les boutiques appliquent leurs propres règles ; nous ne contrôlons ni leurs contenus, ni leur disponibilité, ni leurs tarifs.</w:t>
      </w:r>
    </w:p>
    <w:p>
      <w:pPr>
        <w:pStyle w:val="Heading1"/>
        <w:keepLines w:val="0"/>
      </w:pPr>
      <w:r>
        <w:rPr>
          <w:rFonts w:ascii="Noto Sans" w:hAnsi="Noto Sans" w:eastAsia="Noto Sans TC" w:cs="Noto Sans"/>
          <w:b w:val="0"/>
        </w:rPr>
        <w:t>Confidentialité et confirmations nécessaires</w:t>
      </w:r>
    </w:p>
    <w:p>
      <w:pPr>
        <w:keepLines w:val="0"/>
      </w:pPr>
      <w:r>
        <w:rPr>
          <w:rFonts w:ascii="Noto Sans" w:hAnsi="Noto Sans" w:eastAsia="Noto Sans TC" w:cs="Noto Sans"/>
          <w:b w:val="0"/>
        </w:rPr>
        <w:t>Le traitement des données personnelles est régi par la notice de confidentialité de ce produit et la politique de confidentialité DAWNBLOOM. Les présentes conditions ne remplacent pas les confirmations distinctes requises pour les autorisations système, les opérations sur le compte, la synchronisation facultative ou d’autres opérations pour lesquelles la loi exige une confirmation séparée ; vous pouvez refuser les fonctionnalités facultatives.</w:t>
      </w:r>
    </w:p>
    <w:p>
      <w:pPr>
        <w:pStyle w:val="Heading1"/>
        <w:keepLines w:val="0"/>
      </w:pPr>
      <w:r>
        <w:rPr>
          <w:rFonts w:ascii="Noto Sans" w:hAnsi="Noto Sans" w:eastAsia="Noto Sans TC" w:cs="Noto Sans"/>
          <w:b w:val="0"/>
        </w:rPr>
        <w:t>Disponibilité, mises à jour et frais</w:t>
      </w:r>
    </w:p>
    <w:p>
      <w:pPr>
        <w:keepLines w:val="0"/>
      </w:pPr>
      <w:r>
        <w:rPr>
          <w:rFonts w:ascii="Noto Sans" w:hAnsi="Noto Sans" w:eastAsia="Noto Sans TC" w:cs="Noto Sans"/>
          <w:b w:val="0"/>
        </w:rPr>
        <w:t>Les fonctionnalités et les canaux de distribution sont ceux des versions effectivement publiées et peuvent varier selon les plateformes, les appareils ou les régions. Le numéro de version commun indiqué sur le site officiel ne signifie pas que toutes les boutiques proposent déjà cette même version. Nous pouvons proposer des mises à jour de sécurité et de fonctionnalités ; si des frais sont introduits, leur prix, leur portée et les règles applicables seront clairement indiqués à l’avance, et aucun prélèvement ne sera effectué sur le seul fondement des présentes conditions. Si vous obtenez le logiciel par une boutique, vous devez également respecter ses règles applicables en matière de licence et d’achat.</w:t>
      </w:r>
    </w:p>
    <w:p>
      <w:pPr>
        <w:pStyle w:val="Heading1"/>
        <w:keepLines w:val="0"/>
      </w:pPr>
      <w:r>
        <w:rPr>
          <w:rFonts w:ascii="Noto Sans" w:hAnsi="Noto Sans" w:eastAsia="Noto Sans TC" w:cs="Noto Sans"/>
          <w:b w:val="0"/>
        </w:rPr>
        <w:t>Limites du service et droits des utilisateurs</w:t>
      </w:r>
    </w:p>
    <w:p>
      <w:pPr>
        <w:keepLines w:val="0"/>
      </w:pPr>
      <w:r>
        <w:rPr>
          <w:rFonts w:ascii="Noto Sans" w:hAnsi="Noto Sans" w:eastAsia="Noto Sans TC" w:cs="Noto Sans"/>
          <w:b w:val="0"/>
        </w:rPr>
        <w:t>Nous assurons raisonnablement la maintenance du produit, mais ne promettons pas qu’il sera toujours exempt d’erreurs, ininterrompu ou parfaitement adapté à un usage particulier dans tous les environnements. Veuillez conserver des sauvegardes appropriées des informations et fichiers importants. Toute limitation de responsabilité s’applique uniquement dans les limites autorisées par le droit applicable ; elle n’exclut aucune responsabilité qui ne peut légalement être exclue, n’exonère pas de la responsabilité légalement encourue en cas de faute intentionnelle ou lourde et ne réduit pas les droits impératifs des consommateurs.</w:t>
      </w:r>
    </w:p>
    <w:p>
      <w:pPr>
        <w:pStyle w:val="Heading1"/>
        <w:keepLines w:val="0"/>
      </w:pPr>
      <w:r>
        <w:rPr>
          <w:rFonts w:ascii="Noto Sans" w:hAnsi="Noto Sans" w:eastAsia="Noto Sans TC" w:cs="Noto Sans"/>
          <w:b w:val="0"/>
        </w:rPr>
        <w:t>Cessation d’utilisation et mesures relatives au service</w:t>
      </w:r>
    </w:p>
    <w:p>
      <w:pPr>
        <w:keepLines w:val="0"/>
      </w:pPr>
      <w:r>
        <w:rPr>
          <w:rFonts w:ascii="Noto Sans" w:hAnsi="Noto Sans" w:eastAsia="Noto Sans TC" w:cs="Noto Sans"/>
          <w:b w:val="0"/>
        </w:rPr>
        <w:t>Vous pouvez cesser d’utiliser le logiciel et le désinstaller. La désinstallation, la déconnexion du compte et la suppression du compte DAWNBLOOM sont des opérations distinctes ; pour supprimer votre compte, veuillez suivre la procédure officielle relative aux comptes. En cas de risque de sécurité, d’acte illicite ou de violation grave des conditions, nous pouvons prendre des mesures de restriction nécessaires et proportionnées et, lorsque cela est possible et autorisé par la loi, en expliquer les motifs et proposer un moyen de contact ou de recours.</w:t>
      </w:r>
    </w:p>
    <w:p>
      <w:pPr>
        <w:pStyle w:val="Heading1"/>
        <w:keepLines w:val="0"/>
      </w:pPr>
      <w:r>
        <w:rPr>
          <w:rFonts w:ascii="Noto Sans" w:hAnsi="Noto Sans" w:eastAsia="Noto Sans TC" w:cs="Noto Sans"/>
          <w:b w:val="0"/>
        </w:rPr>
        <w:t>Mise à jour des conditions et résolution des litiges</w:t>
      </w:r>
    </w:p>
    <w:p>
      <w:pPr>
        <w:keepLines w:val="0"/>
      </w:pPr>
      <w:r>
        <w:rPr>
          <w:rFonts w:ascii="Noto Sans" w:hAnsi="Noto Sans" w:eastAsia="Noto Sans TC" w:cs="Noto Sans"/>
          <w:b w:val="0"/>
        </w:rPr>
        <w:t>Les mises à jour des conditions porteront une date. Les modifications importantes seront notifiées par des moyens raisonnables et un nouveau consentement explicite sera recueilli séparément lorsque la loi l’exige. Sans préjudice du droit impératif applicable au lieu de résidence de l’utilisateur et des droits des consommateurs, les présentes conditions sont régies par le droit de la République populaire de Chine. Les litiges doivent d’abord faire l’objet d’une tentative de résolution amiable ; à défaut de résolution, ils peuvent être soumis conformément à la loi à un tribunal compétent, sans exclusion des voies de recours légalement ouvertes aux utilisateurs.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d’utilisation de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