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Avis des Canaux Officiels et Anti-Arnaque de DAWNBLOOM</w:t>
      </w:r>
    </w:p>
    <w:p>
      <w:pPr>
        <w:keepLines w:val="0"/>
      </w:pPr>
      <w:r>
        <w:rPr>
          <w:rFonts w:ascii="Noto Sans" w:hAnsi="Noto Sans" w:eastAsia="Arial Unicode MS" w:cs="Noto Sans"/>
          <w:b w:val="0"/>
        </w:rPr>
        <w:t>Version officielle</w:t>
      </w:r>
    </w:p>
    <w:p>
      <w:pPr>
        <w:keepLines w:val="0"/>
      </w:pPr>
      <w:r>
        <w:rPr>
          <w:rFonts w:ascii="Noto Sans" w:hAnsi="Noto Sans" w:eastAsia="Arial Unicode MS" w:cs="Noto Sans"/>
          <w:b w:val="0"/>
        </w:rPr>
        <w:t>CANALUX OFFICIELS ET AVIS ANTI-FRAUDE</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Vérifiez uniquement le site web officiel</w:t>
              <w:br/>
              <w:t>https://dawnbloom.net</w:t>
            </w:r>
          </w:p>
        </w:tc>
      </w:tr>
    </w:tbl>
    <w:p>
      <w:pPr>
        <w:spacing w:after="40"/>
      </w:pPr>
    </w:p>
    <w:p>
      <w:pPr>
        <w:keepLines w:val="0"/>
      </w:pPr>
      <w:r>
        <w:rPr>
          <w:rFonts w:ascii="Noto Sans" w:hAnsi="Noto Sans" w:eastAsia="Arial Unicode MS" w:cs="Noto Sans"/>
          <w:b w:val="0"/>
        </w:rPr>
        <w:t>V8 · 10 octobre 2026</w:t>
      </w:r>
    </w:p>
    <w:p>
      <w:pPr>
        <w:keepLines w:val="0"/>
      </w:pPr>
      <w:r>
        <w:rPr>
          <w:rFonts w:ascii="Noto Sans" w:hAnsi="Noto Sans" w:eastAsia="Arial Unicode MS" w:cs="Noto Sans"/>
          <w:b w:val="0"/>
        </w:rPr>
        <w:t>Date d’entrée en vigueur : 10 octobre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Tout site web, service client, compte de réseau social ou page de paiement prétendant représenter DAWNBLOOM (DAWNBLOOM) qui n'est pas explicitement répertorié dans cet avis ou sur le site officiel ne doit pas fournir d'informations de compte, de codes de vérification ni être sollicité pour un paiement.</w:t>
            </w:r>
          </w:p>
        </w:tc>
      </w:tr>
    </w:tbl>
    <w:p>
      <w:pPr>
        <w:spacing w:after="40"/>
      </w:pPr>
    </w:p>
    <w:p>
      <w:pPr>
        <w:pStyle w:val="Heading1"/>
        <w:keepLines w:val="0"/>
      </w:pPr>
      <w:r>
        <w:rPr>
          <w:rFonts w:ascii="Noto Sans" w:hAnsi="Noto Sans" w:eastAsia="Arial Unicode MS" w:cs="Noto Sans"/>
          <w:b w:val="0"/>
        </w:rPr>
        <w:t>1. Objet du présent Avis</w:t>
      </w:r>
    </w:p>
    <w:p>
      <w:pPr>
        <w:keepLines w:val="0"/>
      </w:pPr>
      <w:r>
        <w:rPr>
          <w:rFonts w:ascii="Noto Sans" w:hAnsi="Noto Sans" w:eastAsia="Arial Unicode MS" w:cs="Noto Sans"/>
          <w:b w:val="0"/>
        </w:rPr>
        <w:t>Cet avis vise à aider les joueurs à identifier le site web officiel, l'adresse e-mail officielle, les réseaux sociaux officiels et les canaux de service client de « DAWNBLOOM » (DAWNBLOOM). Il vise à réduire les risques associés au faux service client, aux faux services de recharge, aux sites de phishing, aux liens de vol de compte, aux fausses demandes de remboursement et à l'usurpation d'identité par du personnel non autorisé. Les canaux officiels peuvent être ajoutés, déplacés ou renommés conformément aux ajustements de la plateforme ; tout changement ou mise à jour sera finalisé et annoncé officiellement via dawnbloom.net.</w:t>
      </w:r>
    </w:p>
    <w:p>
      <w:pPr>
        <w:keepLines w:val="0"/>
      </w:pPr>
      <w:r>
        <w:rPr>
          <w:rFonts w:ascii="Noto Sans" w:hAnsi="Noto Sans" w:eastAsia="Arial Unicode MS" w:cs="Noto Sans"/>
          <w:b w:val="0"/>
        </w:rPr>
        <w:t>Cet avis aide également les utilisateurs à identifier les pages, installateurs, mises à jour et support pour le jeu, Token, Browser, News, Mail, Download et Archive. Ne procurez pas de produits non sortis auprès d'hôtes de fichiers inconnus, de partages de groupes, de chats privés ou de sites de logiciels piratés.</w:t>
      </w:r>
    </w:p>
    <w:p>
      <w:pPr>
        <w:pStyle w:val="Heading1"/>
        <w:keepLines w:val="0"/>
      </w:pPr>
      <w:r>
        <w:rPr>
          <w:rFonts w:ascii="Noto Sans" w:hAnsi="Noto Sans" w:eastAsia="Arial Unicode MS" w:cs="Noto Sans"/>
          <w:b w:val="0"/>
        </w:rPr>
        <w:t>2. Canaux Officiels</w:t>
      </w:r>
    </w:p>
    <w:p>
      <w:pPr>
        <w:keepLines w:val="0"/>
      </w:pPr>
      <w:r>
        <w:rPr>
          <w:rFonts w:ascii="Noto Sans" w:hAnsi="Noto Sans" w:eastAsia="Arial Unicode MS" w:cs="Noto Sans"/>
          <w:b w:val="0"/>
        </w:rPr>
        <w:t>DAWNBLOOM Fairy et DAWNBLOOM AI appartiennent au même ensemble de services intelligents de notre société. N’envoyez pas dans la conversation de mots de passe, de codes de vérification à usage unique complets, de jetons d’accès ou d’informations d’authentification de paiement. Les suggestions de l’IA et les fiches Intelligent UI ne remplacent pas la vérification officielle d’identité ; les opérations portant sur les comptes, les actifs et les données personnelles doivent toujours suivre une procédure officielle de service avec vérification. Ne faites pas confiance aux messages qui, au nom de l’IA, vous demandent de contourner les vérifications, de payer sur un compte privé ou de soumettre des informations sensibles sur un nom de domaine ressemblant au domaine officiel.</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Canal</w:t>
            </w:r>
          </w:p>
        </w:tc>
        <w:tc>
          <w:tcPr>
            <w:tcW w:type="dxa" w:w="3249"/>
            <w:vAlign w:val="center"/>
            <w:shd w:fill="DCE8F7"/>
          </w:tcPr>
          <w:p>
            <w:pPr>
              <w:keepNext/>
              <w:spacing w:after="40"/>
            </w:pPr>
            <w:r>
              <w:rPr>
                <w:rFonts w:ascii="Noto Sans" w:hAnsi="Noto Sans" w:eastAsia="Arial Unicode MS" w:cs="Noto Sans"/>
                <w:b/>
                <w:sz w:val="17"/>
              </w:rPr>
              <w:t>Informations officielles</w:t>
            </w:r>
          </w:p>
        </w:tc>
        <w:tc>
          <w:tcPr>
            <w:tcW w:type="dxa" w:w="3249"/>
            <w:vAlign w:val="center"/>
            <w:shd w:fill="DCE8F7"/>
          </w:tcPr>
          <w:p>
            <w:pPr>
              <w:keepNext/>
              <w:spacing w:after="40"/>
            </w:pPr>
            <w:r>
              <w:rPr>
                <w:rFonts w:ascii="Noto Sans" w:hAnsi="Noto Sans" w:eastAsia="Arial Unicode MS" w:cs="Noto Sans"/>
                <w:b/>
                <w:sz w:val="17"/>
              </w:rPr>
              <w:t>But</w:t>
            </w:r>
          </w:p>
        </w:tc>
      </w:tr>
      <w:tr>
        <w:trPr>
          <w:cantSplit/>
        </w:trPr>
        <w:tc>
          <w:tcPr>
            <w:tcW w:type="dxa" w:w="3249"/>
            <w:vAlign w:val="center"/>
          </w:tcPr>
          <w:p>
            <w:pPr>
              <w:spacing w:after="40"/>
            </w:pPr>
            <w:r>
              <w:rPr>
                <w:rFonts w:ascii="Noto Sans" w:hAnsi="Noto Sans" w:eastAsia="Arial Unicode MS" w:cs="Noto Sans"/>
                <w:sz w:val="17"/>
              </w:rPr>
              <w:t>Unique site Web mondial</w:t>
            </w:r>
          </w:p>
        </w:tc>
        <w:tc>
          <w:tcPr>
            <w:tcW w:type="dxa" w:w="3249"/>
            <w:vAlign w:val="center"/>
          </w:tcPr>
          <w:p>
            <w:pPr>
              <w:spacing w:after="40"/>
            </w:pPr>
            <w:hyperlink r:id="rId11">
              <w:r>
                <w:rPr>
                  <w:rFonts w:ascii="Noto Sans" w:hAnsi="Noto Sans" w:eastAsia="Arial Unicode MS"/>
                  <w:sz w:val="17"/>
                </w:rPr>
                <w:t xml:space="preserve">https://dawnbloom.net</w:t>
              </w:r>
            </w:hyperlink>
          </w:p>
        </w:tc>
        <w:tc>
          <w:tcPr>
            <w:tcW w:type="dxa" w:w="3249"/>
            <w:vAlign w:val="center"/>
          </w:tcPr>
          <w:p>
            <w:pPr>
              <w:spacing w:after="40"/>
            </w:pPr>
            <w:r>
              <w:rPr>
                <w:rFonts w:ascii="Noto Sans" w:hAnsi="Noto Sans" w:eastAsia="Arial Unicode MS" w:cs="Noto Sans"/>
                <w:sz w:val="17"/>
              </w:rPr>
              <w:t>Documents juridiques, téléchargements de jeux, services de compte, communauté, boutique, annonces et points d'entrée officiels</w:t>
            </w:r>
          </w:p>
        </w:tc>
      </w:tr>
      <w:tr>
        <w:trPr>
          <w:cantSplit/>
        </w:trPr>
        <w:tc>
          <w:tcPr>
            <w:tcW w:type="dxa" w:w="3249"/>
            <w:vAlign w:val="center"/>
          </w:tcPr>
          <w:p>
            <w:pPr>
              <w:spacing w:after="40"/>
            </w:pPr>
            <w:r>
              <w:rPr>
                <w:rFonts w:ascii="Noto Sans" w:hAnsi="Noto Sans" w:eastAsia="Arial Unicode MS" w:cs="Noto Sans"/>
                <w:sz w:val="17"/>
              </w:rPr>
              <w:t>Entrée officielle en chinois</w:t>
            </w:r>
          </w:p>
        </w:tc>
        <w:tc>
          <w:tcPr>
            <w:tcW w:type="dxa" w:w="3249"/>
            <w:vAlign w:val="center"/>
          </w:tcPr>
          <w:p>
            <w:pPr>
              <w:spacing w:after="40"/>
            </w:pPr>
            <w:r>
              <w:rPr>
                <w:rFonts w:ascii="Noto Sans" w:hAnsi="Noto Sans" w:eastAsia="Arial Unicode MS" w:cs="Noto Sans"/>
                <w:sz w:val="17"/>
              </w:rPr>
              <w:t>https://dawnbloom.com.cn</w:t>
              <w:br/>
              <w:t>www.dawnbloom.com.cn</w:t>
            </w:r>
          </w:p>
        </w:tc>
        <w:tc>
          <w:tcPr>
            <w:tcW w:type="dxa" w:w="3249"/>
            <w:vAlign w:val="center"/>
          </w:tcPr>
          <w:p>
            <w:pPr>
              <w:spacing w:after="40"/>
            </w:pPr>
            <w:r>
              <w:rPr>
                <w:rFonts w:ascii="Noto Sans" w:hAnsi="Noto Sans" w:eastAsia="Arial Unicode MS" w:cs="Noto Sans"/>
                <w:sz w:val="17"/>
              </w:rPr>
              <w:t xml:space="preserve">HTTPS 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Entrée officielle en japonais</w:t>
            </w:r>
          </w:p>
        </w:tc>
        <w:tc>
          <w:tcPr>
            <w:tcW w:type="dxa" w:w="3249"/>
            <w:vAlign w:val="center"/>
          </w:tcPr>
          <w:p>
            <w:pPr>
              <w:spacing w:after="40"/>
            </w:pPr>
            <w:r>
              <w:rPr>
                <w:rFonts w:ascii="Noto Sans" w:hAnsi="Noto Sans" w:eastAsia="Arial Unicode MS" w:cs="Noto Sans"/>
                <w:sz w:val="17"/>
              </w:rPr>
              <w:t>https://dawnbloom.jp</w:t>
              <w:br/>
              <w:t>www.dawnbloom.jp</w:t>
            </w:r>
          </w:p>
        </w:tc>
        <w:tc>
          <w:tcPr>
            <w:tcW w:type="dxa" w:w="3249"/>
            <w:vAlign w:val="center"/>
          </w:tcPr>
          <w:p>
            <w:pPr>
              <w:spacing w:after="40"/>
            </w:pPr>
            <w:r>
              <w:rPr>
                <w:rFonts w:ascii="Noto Sans" w:hAnsi="Noto Sans" w:eastAsia="Arial Unicode MS" w:cs="Noto Sans"/>
                <w:sz w:val="17"/>
              </w:rPr>
              <w:t xml:space="preserve">Ouvert ; HTTPS 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Entrée officielle langue coréenne</w:t>
            </w:r>
          </w:p>
        </w:tc>
        <w:tc>
          <w:tcPr>
            <w:tcW w:type="dxa" w:w="3249"/>
            <w:vAlign w:val="center"/>
          </w:tcPr>
          <w:p>
            <w:pPr>
              <w:spacing w:after="40"/>
            </w:pPr>
            <w:hyperlink r:id="rId14">
              <w:r>
                <w:rPr>
                  <w:rFonts w:ascii="Noto Sans" w:hAnsi="Noto Sans" w:eastAsia="Arial Unicode MS"/>
                  <w:sz w:val="17"/>
                </w:rPr>
                <w:t xml:space="preserve">https://dawnbloom.kr</w:t>
              </w:r>
            </w:hyperlink>
            <w:r>
              <w:rPr>
                <w:rFonts w:ascii="Noto Sans" w:hAnsi="Noto Sans" w:eastAsia="Arial Unicode MS" w:cs="Noto Sans"/>
                <w:sz w:val="17"/>
              </w:rPr>
              <w:t xml:space="preserve"> · www.dawnbloom.kr</w:t>
            </w:r>
          </w:p>
        </w:tc>
        <w:tc>
          <w:tcPr>
            <w:tcW w:type="dxa" w:w="3249"/>
            <w:vAlign w:val="center"/>
          </w:tcPr>
          <w:p>
            <w:pPr>
              <w:spacing w:after="40"/>
            </w:pPr>
            <w:r>
              <w:rPr>
                <w:rFonts w:ascii="Noto Sans" w:hAnsi="Noto Sans" w:eastAsia="Arial Unicode MS" w:cs="Noto Sans"/>
                <w:sz w:val="17"/>
              </w:rPr>
              <w:t xml:space="preserve">Les entrées officielles en coréen dawnbloom.kr et www.dawnbloom.kr utilisent des redirections HTTPS 301 vers </w:t>
            </w:r>
            <w:hyperlink r:id="rId15">
              <w:r>
                <w:rPr>
                  <w:rFonts w:ascii="Noto Sans" w:hAnsi="Noto Sans" w:eastAsia="Arial Unicode MS"/>
                  <w:sz w:val="17"/>
                </w:rPr>
                <w:t xml:space="preserve">https://dawnbloom.net/kr/.</w:t>
              </w:r>
            </w:hyperlink>
            <w:r>
              <w:rPr>
                <w:rFonts w:ascii="Noto Sans" w:hAnsi="Noto Sans" w:eastAsia="Arial Unicode MS" w:cs="Noto Sans"/>
                <w:sz w:val="17"/>
              </w:rPr>
              <w:t xml:space="preserve"> Les modifications DNS peuvent prendre du temps à se propager. Elles utilisent le site web unifié et ne créent pas de site web séparé, de compte, de base de données ou de serveur de jeu coréen.</w:t>
            </w:r>
          </w:p>
        </w:tc>
      </w:tr>
      <w:tr>
        <w:trPr>
          <w:cantSplit/>
        </w:trPr>
        <w:tc>
          <w:tcPr>
            <w:tcW w:type="dxa" w:w="3249"/>
            <w:vAlign w:val="center"/>
          </w:tcPr>
          <w:p>
            <w:pPr>
              <w:spacing w:after="40"/>
            </w:pPr>
            <w:r>
              <w:rPr>
                <w:rFonts w:ascii="Noto Sans" w:hAnsi="Noto Sans" w:eastAsia="Arial Unicode MS" w:cs="Noto Sans"/>
                <w:sz w:val="17"/>
              </w:rPr>
              <w:t>Entrée existante de protection de marque en chinois</w:t>
            </w:r>
          </w:p>
        </w:tc>
        <w:tc>
          <w:tcPr>
            <w:tcW w:type="dxa" w:w="3249"/>
            <w:vAlign w:val="center"/>
          </w:tcPr>
          <w:p>
            <w:pPr>
              <w:spacing w:after="40"/>
            </w:pPr>
            <w:r>
              <w:rPr>
                <w:rFonts w:ascii="Noto Sans" w:hAnsi="Noto Sans" w:eastAsia="Arial Unicode MS" w:cs="Noto Sans"/>
                <w:sz w:val="17"/>
              </w:rPr>
              <w:t>DAWNBLOOM.com</w:t>
              <w:br/>
              <w:t>xn--jhqp2f4z3amfugzo.com</w:t>
            </w:r>
          </w:p>
        </w:tc>
        <w:tc>
          <w:tcPr>
            <w:tcW w:type="dxa" w:w="3249"/>
            <w:vAlign w:val="center"/>
          </w:tcPr>
          <w:p>
            <w:pPr>
              <w:spacing w:after="40"/>
            </w:pPr>
            <w:r>
              <w:rPr>
                <w:rFonts w:ascii="Noto Sans" w:hAnsi="Noto Sans" w:eastAsia="Arial Unicode MS" w:cs="Noto Sans"/>
                <w:sz w:val="17"/>
              </w:rPr>
              <w:t xml:space="preserve">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Entrée existante de protection de marque en japonais</w:t>
            </w:r>
          </w:p>
        </w:tc>
        <w:tc>
          <w:tcPr>
            <w:tcW w:type="dxa" w:w="3249"/>
            <w:vAlign w:val="center"/>
          </w:tcPr>
          <w:p>
            <w:pPr>
              <w:spacing w:after="40"/>
            </w:pPr>
            <w:r>
              <w:rPr>
                <w:rFonts w:ascii="Noto Sans" w:hAnsi="Noto Sans" w:eastAsia="Arial Unicode MS" w:cs="Noto Sans"/>
                <w:sz w:val="17"/>
              </w:rPr>
              <w:t>光と花咲く森.com</w:t>
              <w:br/>
              <w:t>xn--y8j6bw89l23cbo7ari8a.com</w:t>
            </w:r>
          </w:p>
        </w:tc>
        <w:tc>
          <w:tcPr>
            <w:tcW w:type="dxa" w:w="3249"/>
            <w:vAlign w:val="center"/>
          </w:tcPr>
          <w:p>
            <w:pPr>
              <w:spacing w:after="40"/>
            </w:pPr>
            <w:r>
              <w:rPr>
                <w:rFonts w:ascii="Noto Sans" w:hAnsi="Noto Sans" w:eastAsia="Arial Unicode MS" w:cs="Noto Sans"/>
                <w:sz w:val="17"/>
              </w:rPr>
              <w:t xml:space="preserve">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E-mail du service client</w:t>
            </w:r>
          </w:p>
        </w:tc>
        <w:tc>
          <w:tcPr>
            <w:tcW w:type="dxa" w:w="3249"/>
            <w:vAlign w:val="center"/>
          </w:tcPr>
          <w:p>
            <w:pPr>
              <w:spacing w:after="40"/>
            </w:pPr>
            <w:hyperlink r:id="rId16">
              <w:r>
                <w:rPr>
                  <w:rFonts w:ascii="Noto Sans" w:hAnsi="Noto Sans" w:eastAsia="Arial Unicode MS"/>
                  <w:sz w:val="17"/>
                </w:rPr>
                <w:t xml:space="preserve">support@dawnbloom.net</w:t>
              </w:r>
            </w:hyperlink>
          </w:p>
        </w:tc>
        <w:tc>
          <w:tcPr>
            <w:tcW w:type="dxa" w:w="3249"/>
            <w:vAlign w:val="center"/>
          </w:tcPr>
          <w:p>
            <w:pPr>
              <w:spacing w:after="40"/>
            </w:pPr>
            <w:r>
              <w:rPr>
                <w:rFonts w:ascii="Noto Sans" w:hAnsi="Noto Sans" w:eastAsia="Arial Unicode MS" w:cs="Noto Sans"/>
                <w:sz w:val="17"/>
              </w:rPr>
              <w:t>Service client pour les joueurs, problèmes de compte, situations anormales et support général</w:t>
            </w:r>
          </w:p>
        </w:tc>
      </w:tr>
      <w:tr>
        <w:trPr>
          <w:cantSplit/>
        </w:trPr>
        <w:tc>
          <w:tcPr>
            <w:tcW w:type="dxa" w:w="3249"/>
            <w:vAlign w:val="center"/>
          </w:tcPr>
          <w:p>
            <w:pPr>
              <w:spacing w:after="40"/>
            </w:pPr>
            <w:r>
              <w:rPr>
                <w:rFonts w:ascii="Noto Sans" w:hAnsi="Noto Sans" w:eastAsia="Arial Unicode MS" w:cs="Noto Sans"/>
                <w:sz w:val="17"/>
              </w:rPr>
              <w:t>Suggestions / plaintes</w:t>
            </w:r>
          </w:p>
        </w:tc>
        <w:tc>
          <w:tcPr>
            <w:tcW w:type="dxa" w:w="3249"/>
            <w:vAlign w:val="center"/>
          </w:tcPr>
          <w:p>
            <w:pPr>
              <w:spacing w:after="40"/>
            </w:pPr>
            <w:hyperlink r:id="rId17">
              <w:r>
                <w:rPr>
                  <w:rFonts w:ascii="Noto Sans" w:hAnsi="Noto Sans" w:eastAsia="Arial Unicode MS"/>
                  <w:sz w:val="17"/>
                </w:rPr>
                <w:t xml:space="preserve">hello@dawnbloom.net</w:t>
              </w:r>
            </w:hyperlink>
          </w:p>
        </w:tc>
        <w:tc>
          <w:tcPr>
            <w:tcW w:type="dxa" w:w="3249"/>
            <w:vAlign w:val="center"/>
          </w:tcPr>
          <w:p>
            <w:pPr>
              <w:spacing w:after="40"/>
            </w:pPr>
            <w:r>
              <w:rPr>
                <w:rFonts w:ascii="Noto Sans" w:hAnsi="Noto Sans" w:eastAsia="Arial Unicode MS" w:cs="Noto Sans"/>
                <w:sz w:val="17"/>
              </w:rPr>
              <w:t>Suggestions quotidiennes, plaintes de service et retours d'expérience</w:t>
            </w:r>
          </w:p>
        </w:tc>
      </w:tr>
      <w:tr>
        <w:trPr>
          <w:cantSplit/>
        </w:trPr>
        <w:tc>
          <w:tcPr>
            <w:tcW w:type="dxa" w:w="3249"/>
            <w:vAlign w:val="center"/>
          </w:tcPr>
          <w:p>
            <w:pPr>
              <w:spacing w:after="40"/>
            </w:pPr>
            <w:r>
              <w:rPr>
                <w:rFonts w:ascii="Noto Sans" w:hAnsi="Noto Sans" w:eastAsia="Arial Unicode MS" w:cs="Noto Sans"/>
                <w:sz w:val="17"/>
              </w:rPr>
              <w:t>E-mail de facturation</w:t>
            </w:r>
          </w:p>
        </w:tc>
        <w:tc>
          <w:tcPr>
            <w:tcW w:type="dxa" w:w="3249"/>
            <w:vAlign w:val="center"/>
          </w:tcPr>
          <w:p>
            <w:pPr>
              <w:spacing w:after="40"/>
            </w:pPr>
            <w:hyperlink r:id="rId18">
              <w:r>
                <w:rPr>
                  <w:rFonts w:ascii="Noto Sans" w:hAnsi="Noto Sans" w:eastAsia="Arial Unicode MS"/>
                  <w:sz w:val="17"/>
                </w:rPr>
                <w:t xml:space="preserve">billing@dawnbloom.net</w:t>
              </w:r>
            </w:hyperlink>
          </w:p>
        </w:tc>
        <w:tc>
          <w:tcPr>
            <w:tcW w:type="dxa" w:w="3249"/>
            <w:vAlign w:val="center"/>
          </w:tcPr>
          <w:p>
            <w:pPr>
              <w:spacing w:after="40"/>
            </w:pPr>
            <w:r>
              <w:rPr>
                <w:rFonts w:ascii="Noto Sans" w:hAnsi="Noto Sans" w:eastAsia="Arial Unicode MS" w:cs="Noto Sans"/>
                <w:sz w:val="17"/>
              </w:rPr>
              <w:t>Commandes, paiements, facturation, remboursements et questions liées aux transactions</w:t>
            </w:r>
          </w:p>
        </w:tc>
      </w:tr>
      <w:tr>
        <w:trPr>
          <w:cantSplit/>
        </w:trPr>
        <w:tc>
          <w:tcPr>
            <w:tcW w:type="dxa" w:w="3249"/>
            <w:vAlign w:val="center"/>
          </w:tcPr>
          <w:p>
            <w:pPr>
              <w:spacing w:after="40"/>
            </w:pPr>
            <w:r>
              <w:rPr>
                <w:rFonts w:ascii="Noto Sans" w:hAnsi="Noto Sans" w:eastAsia="Arial Unicode MS" w:cs="Noto Sans"/>
                <w:sz w:val="17"/>
              </w:rPr>
              <w:t>E-mail médias/coopération</w:t>
            </w:r>
          </w:p>
        </w:tc>
        <w:tc>
          <w:tcPr>
            <w:tcW w:type="dxa" w:w="3249"/>
            <w:vAlign w:val="center"/>
          </w:tcPr>
          <w:p>
            <w:pPr>
              <w:spacing w:after="40"/>
            </w:pPr>
            <w:hyperlink r:id="rId19">
              <w:r>
                <w:rPr>
                  <w:rFonts w:ascii="Noto Sans" w:hAnsi="Noto Sans" w:eastAsia="Arial Unicode MS"/>
                  <w:sz w:val="17"/>
                </w:rPr>
                <w:t xml:space="preserve">contact@dawnbloom.net</w:t>
              </w:r>
            </w:hyperlink>
          </w:p>
        </w:tc>
        <w:tc>
          <w:tcPr>
            <w:tcW w:type="dxa" w:w="3249"/>
            <w:vAlign w:val="center"/>
          </w:tcPr>
          <w:p>
            <w:pPr>
              <w:spacing w:after="40"/>
            </w:pPr>
            <w:r>
              <w:rPr>
                <w:rFonts w:ascii="Noto Sans" w:hAnsi="Noto Sans" w:eastAsia="Arial Unicode MS" w:cs="Noto Sans"/>
                <w:sz w:val="17"/>
              </w:rPr>
              <w:t>Demandes des médias, coopération commerciale et questions non liées au service client</w:t>
            </w:r>
          </w:p>
        </w:tc>
      </w:tr>
      <w:tr>
        <w:trPr>
          <w:cantSplit/>
        </w:trPr>
        <w:tc>
          <w:tcPr>
            <w:tcW w:type="dxa" w:w="3249"/>
            <w:vAlign w:val="center"/>
          </w:tcPr>
          <w:p>
            <w:pPr>
              <w:spacing w:after="40"/>
            </w:pPr>
            <w:r>
              <w:rPr>
                <w:rFonts w:ascii="Noto Sans" w:hAnsi="Noto Sans" w:eastAsia="Arial Unicode MS" w:cs="Noto Sans"/>
                <w:sz w:val="17"/>
              </w:rPr>
              <w:t>E-mail juridique/droit d'auteur</w:t>
            </w:r>
          </w:p>
        </w:tc>
        <w:tc>
          <w:tcPr>
            <w:tcW w:type="dxa" w:w="3249"/>
            <w:vAlign w:val="center"/>
          </w:tcPr>
          <w:p>
            <w:pPr>
              <w:spacing w:after="40"/>
            </w:pPr>
            <w:hyperlink r:id="rId20">
              <w:r>
                <w:rPr>
                  <w:rFonts w:ascii="Noto Sans" w:hAnsi="Noto Sans" w:eastAsia="Arial Unicode MS"/>
                  <w:sz w:val="17"/>
                </w:rPr>
                <w:t xml:space="preserve">legal@dawnbloom.net</w:t>
              </w:r>
            </w:hyperlink>
          </w:p>
        </w:tc>
        <w:tc>
          <w:tcPr>
            <w:tcW w:type="dxa" w:w="3249"/>
            <w:vAlign w:val="center"/>
          </w:tcPr>
          <w:p>
            <w:pPr>
              <w:spacing w:after="40"/>
            </w:pPr>
            <w:r>
              <w:rPr>
                <w:rFonts w:ascii="Noto Sans" w:hAnsi="Noto Sans" w:eastAsia="Arial Unicode MS" w:cs="Noto Sans"/>
                <w:sz w:val="17"/>
              </w:rPr>
              <w:t>Avis juridiques, droits d'auteur, propriété intellectuelle et communications juridiques formelles</w:t>
            </w:r>
          </w:p>
        </w:tc>
      </w:tr>
      <w:tr>
        <w:trPr>
          <w:cantSplit/>
        </w:trPr>
        <w:tc>
          <w:tcPr>
            <w:tcW w:type="dxa" w:w="3249"/>
            <w:vAlign w:val="center"/>
          </w:tcPr>
          <w:p>
            <w:pPr>
              <w:spacing w:after="40"/>
            </w:pPr>
            <w:r>
              <w:rPr>
                <w:rFonts w:ascii="Noto Sans" w:hAnsi="Noto Sans" w:eastAsia="Arial Unicode MS" w:cs="Noto Sans"/>
                <w:sz w:val="17"/>
              </w:rPr>
              <w:t>E-mail sur les vulnérabilités de sécurité</w:t>
            </w:r>
          </w:p>
        </w:tc>
        <w:tc>
          <w:tcPr>
            <w:tcW w:type="dxa" w:w="3249"/>
            <w:vAlign w:val="center"/>
          </w:tcPr>
          <w:p>
            <w:pPr>
              <w:spacing w:after="40"/>
            </w:pPr>
            <w:hyperlink r:id="rId21">
              <w:r>
                <w:rPr>
                  <w:rFonts w:ascii="Noto Sans" w:hAnsi="Noto Sans" w:eastAsia="Arial Unicode MS"/>
                  <w:sz w:val="17"/>
                </w:rPr>
                <w:t xml:space="preserve">security@dawnbloom.net</w:t>
              </w:r>
            </w:hyperlink>
          </w:p>
        </w:tc>
        <w:tc>
          <w:tcPr>
            <w:tcW w:type="dxa" w:w="3249"/>
            <w:vAlign w:val="center"/>
          </w:tcPr>
          <w:p>
            <w:pPr>
              <w:spacing w:after="40"/>
            </w:pPr>
            <w:r>
              <w:rPr>
                <w:rFonts w:ascii="Noto Sans" w:hAnsi="Noto Sans" w:eastAsia="Arial Unicode MS" w:cs="Noto Sans"/>
                <w:sz w:val="17"/>
              </w:rPr>
              <w:t>Vulnérabilités de sécurité, problèmes techniques de sécurité et divulgation responsable</w:t>
            </w:r>
          </w:p>
        </w:tc>
      </w:tr>
    </w:tbl>
    <w:p>
      <w:pPr>
        <w:spacing w:after="40"/>
      </w:pPr>
    </w:p>
    <w:p>
      <w:pPr>
        <w:keepLines w:val="0"/>
      </w:pPr>
      <w:r>
        <w:rPr>
          <w:rFonts w:ascii="Noto Sans" w:hAnsi="Noto Sans" w:eastAsia="Arial Unicode MS" w:cs="Noto Sans"/>
          <w:b w:val="0"/>
        </w:rPr>
        <w:t>Les entrées régionales dans le tableau guident uniquement la sélection de langue. Elles ne gèrent pas indépendamment l'inscription, l'authentification, le changement de mot de passe, les recharges, les paiements ou les commandes. Après une redirection normale, vérifiez le nom d'hôte complet du site principal et le chemin de langue dans la barre d'adresse. Les deux entrées régionales sont ouvertes et utilisent des redirections HTTPS 301 vers les chemins de langue du site principal indiqués. Les entrées régionales ne créent pas de nouvel opérateur ni de base de données, et ne migrent pas les comptes ou les données des joueurs. Leurs suffixes n'établissent pas d'hébergement en Chine continentale, de dépôt ICP ni de société ou succursale japonaise. L'opérateur a fourni l'identité d'enregistrement de l'entreprise pour l'entrée Chine. Le titulaire enregistré et l'autorisation formelle de l'entrée Japon restent à vérifier ; cet avis ne prétend pas à la propriété directe de l'entreprise. Les domaines de protection de marque existants restent répertoriés. L'affichage seul de Punycode n'est pas une preuve d'usurpation, mais vérisez l'orthographe complète et l'adresse finale. D'autres domaines similaires ne deviennent pas officiels par simple similarité. L'e-mail officiel utilise toujours uniquement @dawnbloom.net.</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Service</w:t>
            </w:r>
          </w:p>
        </w:tc>
        <w:tc>
          <w:tcPr>
            <w:tcW w:type="dxa" w:w="4873"/>
            <w:vAlign w:val="center"/>
            <w:shd w:fill="DCE8F7"/>
          </w:tcPr>
          <w:p>
            <w:pPr>
              <w:keepNext/>
              <w:spacing w:after="40"/>
            </w:pPr>
            <w:r>
              <w:rPr>
                <w:rFonts w:ascii="Noto Sans" w:hAnsi="Noto Sans" w:eastAsia="Arial Unicode MS" w:cs="Noto Sans"/>
                <w:b/>
                <w:sz w:val="17"/>
              </w:rPr>
              <w:t>Chemin officiel du site principal (remplacer zh par en ou ja)</w:t>
            </w:r>
          </w:p>
        </w:tc>
      </w:tr>
      <w:tr>
        <w:trPr>
          <w:cantSplit/>
        </w:trPr>
        <w:tc>
          <w:tcPr>
            <w:tcW w:type="dxa" w:w="4873"/>
            <w:vAlign w:val="center"/>
          </w:tcPr>
          <w:p>
            <w:pPr>
              <w:spacing w:after="40"/>
            </w:pPr>
            <w:r>
              <w:rPr>
                <w:rFonts w:ascii="Noto Sans" w:hAnsi="Noto Sans" w:eastAsia="Arial Unicode MS" w:cs="Noto Sans"/>
                <w:sz w:val="17"/>
              </w:rPr>
              <w:t>Connexion au compte</w:t>
            </w:r>
          </w:p>
        </w:tc>
        <w:tc>
          <w:tcPr>
            <w:tcW w:type="dxa" w:w="4873"/>
            <w:vAlign w:val="center"/>
          </w:tcPr>
          <w:p>
            <w:pPr>
              <w:spacing w:after="40"/>
            </w:pPr>
            <w:hyperlink r:id="rId22">
              <w:r>
                <w:rPr>
                  <w:rFonts w:ascii="Noto Sans" w:hAnsi="Noto Sans" w:eastAsia="Arial Unicode MS"/>
                  <w:sz w:val="17"/>
                </w:rPr>
                <w:t xml:space="preserve">https://dawnbloom.net/zh/player-center/</w:t>
              </w:r>
            </w:hyperlink>
          </w:p>
        </w:tc>
      </w:tr>
      <w:tr>
        <w:trPr>
          <w:cantSplit/>
        </w:trPr>
        <w:tc>
          <w:tcPr>
            <w:tcW w:type="dxa" w:w="4873"/>
            <w:vAlign w:val="center"/>
          </w:tcPr>
          <w:p>
            <w:pPr>
              <w:spacing w:after="40"/>
            </w:pPr>
            <w:r>
              <w:rPr>
                <w:rFonts w:ascii="Noto Sans" w:hAnsi="Noto Sans" w:eastAsia="Arial Unicode MS" w:cs="Noto Sans"/>
                <w:sz w:val="17"/>
              </w:rPr>
              <w:t>Récupération et contrôles de sécurité</w:t>
            </w:r>
          </w:p>
        </w:tc>
        <w:tc>
          <w:tcPr>
            <w:tcW w:type="dxa" w:w="4873"/>
            <w:vAlign w:val="center"/>
          </w:tcPr>
          <w:p>
            <w:pPr>
              <w:spacing w:after="40"/>
            </w:pPr>
            <w:hyperlink r:id="rId23">
              <w:r>
                <w:rPr>
                  <w:rFonts w:ascii="Noto Sans" w:hAnsi="Noto Sans" w:eastAsia="Arial Unicode MS"/>
                  <w:sz w:val="17"/>
                </w:rPr>
                <w:t xml:space="preserve">https://dawnbloom.net/zh/support/account/</w:t>
              </w:r>
            </w:hyperlink>
          </w:p>
        </w:tc>
      </w:tr>
      <w:tr>
        <w:trPr>
          <w:cantSplit/>
        </w:trPr>
        <w:tc>
          <w:tcPr>
            <w:tcW w:type="dxa" w:w="4873"/>
            <w:vAlign w:val="center"/>
          </w:tcPr>
          <w:p>
            <w:pPr>
              <w:spacing w:after="40"/>
            </w:pPr>
            <w:r>
              <w:rPr>
                <w:rFonts w:ascii="Noto Sans" w:hAnsi="Noto Sans" w:eastAsia="Arial Unicode MS" w:cs="Noto Sans"/>
                <w:sz w:val="17"/>
              </w:rPr>
              <w:t>Support et contact</w:t>
            </w:r>
          </w:p>
        </w:tc>
        <w:tc>
          <w:tcPr>
            <w:tcW w:type="dxa" w:w="4873"/>
            <w:vAlign w:val="center"/>
          </w:tcPr>
          <w:p>
            <w:pPr>
              <w:spacing w:after="40"/>
            </w:pPr>
            <w:r>
              <w:rPr>
                <w:rFonts w:ascii="Noto Sans" w:hAnsi="Noto Sans" w:eastAsia="Arial Unicode MS" w:cs="Noto Sans"/>
                <w:sz w:val="17"/>
              </w:rPr>
              <w:t>https://dawnbloom.net/zh/support/</w:t>
              <w:br/>
              <w:t>https://dawnbloom.net/zh/support/contact/</w:t>
            </w:r>
          </w:p>
        </w:tc>
      </w:tr>
      <w:tr>
        <w:trPr>
          <w:cantSplit/>
        </w:trPr>
        <w:tc>
          <w:tcPr>
            <w:tcW w:type="dxa" w:w="4873"/>
            <w:vAlign w:val="center"/>
          </w:tcPr>
          <w:p>
            <w:pPr>
              <w:spacing w:after="40"/>
            </w:pPr>
            <w:r>
              <w:rPr>
                <w:rFonts w:ascii="Noto Sans" w:hAnsi="Noto Sans" w:eastAsia="Arial Unicode MS" w:cs="Noto Sans"/>
                <w:sz w:val="17"/>
              </w:rPr>
              <w:t>Téléchargements officiels</w:t>
            </w:r>
          </w:p>
        </w:tc>
        <w:tc>
          <w:tcPr>
            <w:tcW w:type="dxa" w:w="4873"/>
            <w:vAlign w:val="center"/>
          </w:tcPr>
          <w:p>
            <w:pPr>
              <w:spacing w:after="40"/>
            </w:pPr>
            <w:hyperlink r:id="rId24">
              <w:r>
                <w:rPr>
                  <w:rFonts w:ascii="Noto Sans" w:hAnsi="Noto Sans" w:eastAsia="Arial Unicode MS"/>
                  <w:sz w:val="17"/>
                </w:rPr>
                <w:t xml:space="preserve">https://dawnbloom.net/zh/download/</w:t>
              </w:r>
            </w:hyperlink>
          </w:p>
        </w:tc>
      </w:tr>
      <w:tr>
        <w:trPr>
          <w:cantSplit/>
        </w:trPr>
        <w:tc>
          <w:tcPr>
            <w:tcW w:type="dxa" w:w="4873"/>
            <w:vAlign w:val="center"/>
          </w:tcPr>
          <w:p>
            <w:pPr>
              <w:spacing w:after="40"/>
            </w:pPr>
            <w:r>
              <w:rPr>
                <w:rFonts w:ascii="Noto Sans" w:hAnsi="Noto Sans" w:eastAsia="Arial Unicode MS" w:cs="Noto Sans"/>
                <w:sz w:val="17"/>
              </w:rPr>
              <w:t>Boutique, recharges et facturation (sous réserve de disponibilité)</w:t>
            </w:r>
          </w:p>
        </w:tc>
        <w:tc>
          <w:tcPr>
            <w:tcW w:type="dxa" w:w="4873"/>
            <w:vAlign w:val="center"/>
          </w:tcPr>
          <w:p>
            <w:pPr>
              <w:spacing w:after="40"/>
            </w:pPr>
            <w:r>
              <w:rPr>
                <w:rFonts w:ascii="Noto Sans" w:hAnsi="Noto Sans" w:eastAsia="Arial Unicode MS" w:cs="Noto Sans"/>
                <w:sz w:val="17"/>
              </w:rPr>
              <w:t>https://dawnbloom.net/zh/shop/</w:t>
              <w:br/>
              <w:t>https://dawnbloom.net/zh/recharge/</w:t>
              <w:br/>
              <w:t>https://dawnbloom.net/zh/support/billing/</w:t>
            </w:r>
          </w:p>
        </w:tc>
      </w:tr>
    </w:tbl>
    <w:p>
      <w:pPr>
        <w:spacing w:after="40"/>
      </w:pPr>
    </w:p>
    <w:p>
      <w:pPr>
        <w:pStyle w:val="Heading1"/>
        <w:keepLines w:val="0"/>
      </w:pPr>
      <w:r>
        <w:rPr>
          <w:rFonts w:ascii="Noto Sans" w:hAnsi="Noto Sans" w:eastAsia="Arial Unicode MS" w:cs="Noto Sans"/>
          <w:b w:val="0"/>
        </w:rPr>
        <w:t>Entité Opératrice et Informations de Contact Juridique</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Projet</w:t>
            </w:r>
          </w:p>
        </w:tc>
        <w:tc>
          <w:tcPr>
            <w:tcW w:type="dxa" w:w="4873"/>
            <w:vAlign w:val="center"/>
            <w:shd w:fill="DCE8F7"/>
          </w:tcPr>
          <w:p>
            <w:pPr>
              <w:keepNext/>
              <w:spacing w:after="40"/>
            </w:pPr>
            <w:r>
              <w:rPr>
                <w:rFonts w:ascii="Noto Sans" w:hAnsi="Noto Sans" w:eastAsia="Arial Unicode MS" w:cs="Noto Sans"/>
                <w:b/>
                <w:sz w:val="17"/>
              </w:rPr>
              <w:t>Informations</w:t>
            </w:r>
          </w:p>
        </w:tc>
      </w:tr>
      <w:tr>
        <w:trPr>
          <w:cantSplit/>
        </w:trPr>
        <w:tc>
          <w:tcPr>
            <w:tcW w:type="dxa" w:w="4873"/>
            <w:vAlign w:val="center"/>
          </w:tcPr>
          <w:p>
            <w:pPr>
              <w:spacing w:after="40"/>
            </w:pPr>
            <w:r>
              <w:rPr>
                <w:rFonts w:ascii="Noto Sans" w:hAnsi="Noto Sans" w:eastAsia="Arial Unicode MS" w:cs="Noto Sans"/>
                <w:sz w:val="17"/>
              </w:rPr>
              <w:t>Opérateur / fournisseur de services du site Web</w:t>
            </w:r>
          </w:p>
        </w:tc>
        <w:tc>
          <w:tcPr>
            <w:tcW w:type="dxa" w:w="4873"/>
            <w:vAlign w:val="center"/>
          </w:tcPr>
          <w:p>
            <w:pPr>
              <w:spacing w:after="40"/>
            </w:pPr>
            <w:r>
              <w:rPr>
                <w:rFonts w:ascii="Noto Sans" w:hAnsi="Noto Sans" w:eastAsia="Arial Unicode MS" w:cs="Noto Sans"/>
                <w:sz w:val="17"/>
              </w:rPr>
              <w:t>上海追光智创文化传媒有限公司 (Nom public anglais : SHANGHAI LUMIREALM CREATIVE MEDIA CO., LTD.)</w:t>
            </w:r>
          </w:p>
        </w:tc>
      </w:tr>
      <w:tr>
        <w:trPr>
          <w:cantSplit/>
        </w:trPr>
        <w:tc>
          <w:tcPr>
            <w:tcW w:type="dxa" w:w="4873"/>
            <w:vAlign w:val="center"/>
          </w:tcPr>
          <w:p>
            <w:pPr>
              <w:spacing w:after="40"/>
            </w:pPr>
            <w:r>
              <w:rPr>
                <w:rFonts w:ascii="Noto Sans" w:hAnsi="Noto Sans" w:eastAsia="Arial Unicode MS" w:cs="Noto Sans"/>
                <w:sz w:val="17"/>
              </w:rPr>
              <w:t>Adresse opérationnelle / adresse de contact juridique</w:t>
            </w:r>
          </w:p>
        </w:tc>
        <w:tc>
          <w:tcPr>
            <w:tcW w:type="dxa" w:w="4873"/>
            <w:vAlign w:val="center"/>
          </w:tcPr>
          <w:p>
            <w:pPr>
              <w:spacing w:after="40"/>
            </w:pPr>
            <w:r>
              <w:rPr>
                <w:rFonts w:ascii="Noto Sans" w:hAnsi="Noto Sans" w:eastAsia="Arial Unicode MS" w:cs="Noto Sans"/>
                <w:sz w:val="17"/>
              </w:rPr>
              <w:t>Pièce 218, Bâtiment 3, 336 Rue Tianjiao, Zone Spéciale de Lin-gang, Zone Pilote de Commerce Extérieur de Chine (Shanghai), Chine</w:t>
            </w:r>
          </w:p>
        </w:tc>
      </w:tr>
    </w:tbl>
    <w:p>
      <w:pPr>
        <w:spacing w:after="40"/>
      </w:pPr>
    </w:p>
    <w:p>
      <w:pPr>
        <w:pStyle w:val="Heading1"/>
        <w:keepLines w:val="0"/>
      </w:pPr>
      <w:r>
        <w:rPr>
          <w:rFonts w:ascii="Noto Sans" w:hAnsi="Noto Sans" w:eastAsia="Arial Unicode MS" w:cs="Noto Sans"/>
          <w:b w:val="0"/>
        </w:rPr>
        <w:t>3. Canaux Officiels de Réseaux Sociaux et de Messagerie Instantanée</w:t>
      </w:r>
    </w:p>
    <w:p>
      <w:pPr>
        <w:keepLines w:val="0"/>
      </w:pPr>
      <w:r>
        <w:rPr>
          <w:rFonts w:ascii="Noto Sans" w:hAnsi="Noto Sans" w:eastAsia="Arial Unicode MS" w:cs="Noto Sans"/>
          <w:b w:val="0"/>
        </w:rPr>
        <w:t xml:space="preserve">Les noms officiels, les noms d'utilisateur et les liens de la plateforme peuvent changer. Ouvrez les chaînes répertoriées depuis Support ou Contact sur le site principal ; les résultats de recherche, les avatars ou les comptes d'abonnés n'établissent pas l'identité. Vérifiez les contacts incertains via </w:t>
      </w:r>
      <w:hyperlink r:id="rId25">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pStyle w:val="ListBullet"/>
        <w:keepLines w:val="0"/>
      </w:pPr>
      <w:r>
        <w:rPr>
          <w:rFonts w:ascii="Noto Sans" w:hAnsi="Noto Sans" w:eastAsia="Arial Unicode MS" w:cs="Noto Sans"/>
          <w:b w:val="0"/>
        </w:rPr>
        <w:t>Les plateformes prises en charge peuvent inclure Facebook, Threads, Instagram, YouTube, X, Bluesky, Xiaohongshu, WeChat, Douyin et d'autres.</w:t>
      </w:r>
    </w:p>
    <w:p>
      <w:pPr>
        <w:pStyle w:val="ListBullet"/>
        <w:keepLines w:val="0"/>
      </w:pPr>
      <w:r>
        <w:rPr>
          <w:rFonts w:ascii="Noto Sans" w:hAnsi="Noto Sans" w:eastAsia="Arial Unicode MS" w:cs="Noto Sans"/>
          <w:b w:val="0"/>
        </w:rPr>
        <w:t>Si un compte sur une plateforme quelconque n'est pas répertorié sur la page des canaux officiels de dawnbloom.net, même si son nom, sa photo de profil ou son contenu semble similaire à celui du compte officiel, ne supposez pas qu'il s'agit d'un compte officiel uniquement en raison de la ressemblance visuelle.</w:t>
      </w:r>
    </w:p>
    <w:p>
      <w:pPr>
        <w:pStyle w:val="ListBullet"/>
        <w:keepLines w:val="0"/>
      </w:pPr>
      <w:r>
        <w:rPr>
          <w:rFonts w:ascii="Noto Sans" w:hAnsi="Noto Sans" w:eastAsia="Arial Unicode MS" w:cs="Noto Sans"/>
          <w:b w:val="0"/>
        </w:rPr>
        <w:t>Tout ajout, suspension, déplacement ou renommage des canaux officiels sera soumis à la dernière annonce officielle sur dawnbloom.net.</w:t>
      </w:r>
    </w:p>
    <w:p>
      <w:pPr>
        <w:pStyle w:val="Heading1"/>
        <w:keepLines w:val="0"/>
      </w:pPr>
      <w:r>
        <w:rPr>
          <w:rFonts w:ascii="Noto Sans" w:hAnsi="Noto Sans" w:eastAsia="Arial Unicode MS" w:cs="Noto Sans"/>
          <w:b w:val="0"/>
        </w:rPr>
        <w:t>4. Ce que le personnel officiel ne vous demandera jamais de faire</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Restez vigilant : le personnel du service client officiel ne vous demandera jamais votre mot de passe de compte, code de vérification unique ou mot de passe de paiement par message privé. Ils ne vous demanderont également jamais de transférer de l'argent sur un compte personnel sous prétexte de « débloquer », « remboursement », « réclamation de récompenses », « restauration d'équipement » ou « vérification d'actifs ».</w:t>
            </w:r>
          </w:p>
        </w:tc>
      </w:tr>
    </w:tbl>
    <w:p>
      <w:pPr>
        <w:spacing w:after="40"/>
      </w:pPr>
    </w:p>
    <w:p>
      <w:pPr>
        <w:keepLines w:val="0"/>
      </w:pPr>
      <w:r>
        <w:rPr>
          <w:rFonts w:ascii="Noto Sans" w:hAnsi="Noto Sans" w:eastAsia="Arial Unicode MS" w:cs="Noto Sans"/>
          <w:b w:val="0"/>
        </w:rPr>
        <w:t>Les codes de Token rotatifs, les détails de récupération de compte et les conversations avec Dawnbloom Guide ne sont jamais une raison pour demander des mots de passe ou des paiements par chat privé. Dawnbloom Guide ne contourne pas les vérifications formelles pour les comptes, les actifs, les appels ou les données internes.</w:t>
      </w:r>
    </w:p>
    <w:p>
      <w:pPr>
        <w:pStyle w:val="ListBullet"/>
        <w:keepLines w:val="0"/>
      </w:pPr>
      <w:r>
        <w:rPr>
          <w:rFonts w:ascii="Noto Sans" w:hAnsi="Noto Sans" w:eastAsia="Arial Unicode MS" w:cs="Noto Sans"/>
          <w:b w:val="0"/>
        </w:rPr>
        <w:t>Ne vous demanderont jamais votre mot de passe de compte de jeu, mot de passe Apple ID, mot de passe Steam, mot de passe de paiement WeChat/Alipay ou mot de passe de carte bancaire.</w:t>
      </w:r>
    </w:p>
    <w:p>
      <w:pPr>
        <w:pStyle w:val="ListBullet"/>
        <w:keepLines w:val="0"/>
      </w:pPr>
      <w:r>
        <w:rPr>
          <w:rFonts w:ascii="Noto Sans" w:hAnsi="Noto Sans" w:eastAsia="Arial Unicode MS" w:cs="Noto Sans"/>
          <w:b w:val="0"/>
        </w:rPr>
        <w:t>Ne vous demanderont jamais votre code de vérification par SMS, code de vérification par e-mail, code d'authentification à deux facteurs, clé dynamique Lightseeker Token (si activée) ou tout autre code de sécurité à usage unique.</w:t>
      </w:r>
    </w:p>
    <w:p>
      <w:pPr>
        <w:pStyle w:val="ListBullet"/>
        <w:keepLines w:val="0"/>
      </w:pPr>
      <w:r>
        <w:rPr>
          <w:rFonts w:ascii="Noto Sans" w:hAnsi="Noto Sans" w:eastAsia="Arial Unicode MS" w:cs="Noto Sans"/>
          <w:b w:val="0"/>
        </w:rPr>
        <w:t>Ne vous demanderont jamais d'activer le partage d'écran, le contrôle à distance ou d'installer un logiciel d'assistance à distance inconnu, un fichier APK, un fichier de description, une extension de navigateur ou un soi-disant « plugin de sécurité ».</w:t>
      </w:r>
    </w:p>
    <w:p>
      <w:pPr>
        <w:pStyle w:val="ListBullet"/>
        <w:keepLines w:val="0"/>
      </w:pPr>
      <w:r>
        <w:rPr>
          <w:rFonts w:ascii="Noto Sans" w:hAnsi="Noto Sans" w:eastAsia="Arial Unicode MS" w:cs="Noto Sans"/>
          <w:b w:val="0"/>
        </w:rPr>
        <w:t>Nous ne vous demanderons pas de transférer des Magic Coins, des Phantom Beasts, de l'équipement ou des objets du jeu vers des soi-disant « comptes GM », « comptes sécurisés » ou « comptes de vérification » pour validation.</w:t>
      </w:r>
    </w:p>
    <w:p>
      <w:pPr>
        <w:pStyle w:val="ListBullet"/>
        <w:keepLines w:val="0"/>
      </w:pPr>
      <w:r>
        <w:rPr>
          <w:rFonts w:ascii="Noto Sans" w:hAnsi="Noto Sans" w:eastAsia="Arial Unicode MS" w:cs="Noto Sans"/>
          <w:b w:val="0"/>
        </w:rPr>
        <w:t>Ne vous demanderont jamais de payer via WeChat personnel, Alipay personnel, carte bancaire privée, carte cadeau, adresse de cryptomonnaie ou tout autre canal de paiement non officiel.</w:t>
      </w:r>
    </w:p>
    <w:p>
      <w:pPr>
        <w:pStyle w:val="ListBullet"/>
        <w:keepLines w:val="0"/>
      </w:pPr>
      <w:r>
        <w:rPr>
          <w:rFonts w:ascii="Noto Sans" w:hAnsi="Noto Sans" w:eastAsia="Arial Unicode MS" w:cs="Noto Sans"/>
          <w:b w:val="0"/>
        </w:rPr>
        <w:t>Ne vous demanderont jamais de paiements supplémentaires sous prétexte de « transfert avant remboursement », « paiement d'un dépôt préalable », « frais de déblocage de compte », « frais de libération d'amende », « frais de vérification » ou « frais de gestion de collecte de prix ».</w:t>
      </w:r>
    </w:p>
    <w:p>
      <w:pPr>
        <w:pStyle w:val="ListBullet"/>
        <w:keepLines w:val="0"/>
      </w:pPr>
      <w:r>
        <w:rPr>
          <w:rFonts w:ascii="Noto Sans" w:hAnsi="Noto Sans" w:eastAsia="Arial Unicode MS" w:cs="Noto Sans"/>
          <w:b w:val="0"/>
        </w:rPr>
        <w:t>Ne vous inviteront jamais à vous reconnecter à votre compte de jeu ou à saisir les détails complets de paiement via des liens non officiels.</w:t>
      </w:r>
    </w:p>
    <w:p>
      <w:pPr>
        <w:pStyle w:val="ListBullet"/>
        <w:keepLines w:val="0"/>
      </w:pPr>
      <w:r>
        <w:rPr>
          <w:rFonts w:ascii="Noto Sans" w:hAnsi="Noto Sans" w:eastAsia="Arial Unicode MS" w:cs="Noto Sans"/>
          <w:b w:val="0"/>
        </w:rPr>
        <w:t>Ne promettront jamais de modifications privées payantes aux pénalités, d'augmentation des probabilités de victoire, de distribution d'articles rares ou de contournement des règles officielles.</w:t>
      </w:r>
    </w:p>
    <w:p>
      <w:pPr>
        <w:pStyle w:val="Heading1"/>
        <w:keepLines w:val="0"/>
      </w:pPr>
      <w:r>
        <w:rPr>
          <w:rFonts w:ascii="Noto Sans" w:hAnsi="Noto Sans" w:eastAsia="Arial Unicode MS" w:cs="Noto Sans"/>
          <w:b w:val="0"/>
        </w:rPr>
        <w:t>Cinq. Méthodes courantes d'usurpation d'identité</w:t>
      </w:r>
    </w:p>
    <w:p>
      <w:pPr>
        <w:pStyle w:val="ListBullet"/>
        <w:keepLines w:val="0"/>
      </w:pPr>
      <w:r>
        <w:rPr>
          <w:rFonts w:ascii="Noto Sans" w:hAnsi="Noto Sans" w:eastAsia="Arial Unicode MS" w:cs="Noto Sans"/>
          <w:b w:val="0"/>
        </w:rPr>
        <w:t>Utilise des domaines, des orthographes, des sous-domaines ou des liens courts extrêmement similaires à dawnbloom.net pour inciter les joueurs à se connecter.</w:t>
      </w:r>
    </w:p>
    <w:p>
      <w:pPr>
        <w:keepLines w:val="0"/>
      </w:pPr>
      <w:r>
        <w:rPr>
          <w:rFonts w:ascii="Noto Sans" w:hAnsi="Noto Sans" w:eastAsia="Arial Unicode MS" w:cs="Noto Sans"/>
          <w:b w:val="0"/>
        </w:rPr>
        <w:t>Les faux sites web, les listings de boutiques, les fichiers APK ou EXE, les mises à jour du navigateur, les clients News ou Mail, les outils Download ou Archive, les pages Token et les services Dawnbloom Guide peuvent solliciter des identifiants ou installer des logiciels malveillants. Faites confiance à dawnbloom.net et aux boutiques officielles qu'il lie explicitement ; Google Drive et Baidu Netdisk ne sont pas des miroirs officiels actuels.</w:t>
      </w:r>
    </w:p>
    <w:p>
      <w:pPr>
        <w:pStyle w:val="ListBullet"/>
        <w:keepLines w:val="0"/>
      </w:pPr>
      <w:r>
        <w:rPr>
          <w:rFonts w:ascii="Noto Sans" w:hAnsi="Noto Sans" w:eastAsia="Arial Unicode MS" w:cs="Noto Sans"/>
          <w:b w:val="0"/>
        </w:rPr>
        <w:t>Ils copient les avatars officiels, les logos, les scripts du service client et les images d'annonces pour créer des comptes sur les réseaux sociaux, des groupes de discussion ou des pages de paiement de haute fidélité.</w:t>
      </w:r>
    </w:p>
    <w:p>
      <w:pPr>
        <w:pStyle w:val="ListBullet"/>
        <w:keepLines w:val="0"/>
      </w:pPr>
      <w:r>
        <w:rPr>
          <w:rFonts w:ascii="Noto Sans" w:hAnsi="Noto Sans" w:eastAsia="Arial Unicode MS" w:cs="Noto Sans"/>
          <w:b w:val="0"/>
        </w:rPr>
        <w:t>Ils se font passer pour des GM, le service client, des administrateurs, des streamers partenaires ou du « personnel interne », affirmant qu'il existe des risques pour le compte et créant une urgence.</w:t>
      </w:r>
    </w:p>
    <w:p>
      <w:pPr>
        <w:pStyle w:val="ListBullet"/>
        <w:keepLines w:val="0"/>
      </w:pPr>
      <w:r>
        <w:rPr>
          <w:rFonts w:ascii="Noto Sans" w:hAnsi="Noto Sans" w:eastAsia="Arial Unicode MS" w:cs="Noto Sans"/>
          <w:b w:val="0"/>
        </w:rPr>
        <w:t>Ils utilisent des offres appâts telles que des « pièces magiques gratuites », des « bêtes fantômes rares », des « prix gagnés », une « éligibilité au test », une « compensation de remboursement » ou des « kits-cadeaux internes » pour envoyer des codes QR ou des liens.</w:t>
      </w:r>
    </w:p>
    <w:p>
      <w:pPr>
        <w:pStyle w:val="ListBullet"/>
        <w:keepLines w:val="0"/>
      </w:pPr>
      <w:r>
        <w:rPr>
          <w:rFonts w:ascii="Noto Sans" w:hAnsi="Noto Sans" w:eastAsia="Arial Unicode MS" w:cs="Noto Sans"/>
          <w:b w:val="0"/>
        </w:rPr>
        <w:t>Ils se font passer pour le service client et vous ajoutent proactivement en tant qu'ami, demandant des codes de vérification, des captures d'écran d'actifs, le partage d'écran ou des transferts.</w:t>
      </w:r>
    </w:p>
    <w:p>
      <w:pPr>
        <w:pStyle w:val="ListBullet"/>
        <w:keepLines w:val="0"/>
      </w:pPr>
      <w:r>
        <w:rPr>
          <w:rFonts w:ascii="Noto Sans" w:hAnsi="Noto Sans" w:eastAsia="Arial Unicode MS" w:cs="Noto Sans"/>
          <w:b w:val="0"/>
        </w:rPr>
        <w:t>Ils utilisent des comptes d'amis volés pour envoyer des liens ou des fichiers, donnant l'impression que la source est légitime.</w:t>
      </w:r>
    </w:p>
    <w:p>
      <w:pPr>
        <w:pStyle w:val="Heading1"/>
        <w:keepLines w:val="0"/>
      </w:pPr>
      <w:r>
        <w:rPr>
          <w:rFonts w:ascii="Noto Sans" w:hAnsi="Noto Sans" w:eastAsia="Arial Unicode MS" w:cs="Noto Sans"/>
          <w:b w:val="0"/>
        </w:rPr>
        <w:t>Section Six : Sécurité des paiements et du magasin</w:t>
      </w:r>
    </w:p>
    <w:p>
      <w:pPr>
        <w:keepLines w:val="0"/>
      </w:pPr>
      <w:r>
        <w:rPr>
          <w:rFonts w:ascii="Noto Sans" w:hAnsi="Noto Sans" w:eastAsia="Arial Unicode MS" w:cs="Noto Sans"/>
          <w:b w:val="0"/>
        </w:rPr>
        <w:t>Tous les biens numériques officiels, coffres et autres contenus de la boutique seront régis par l'affichage sur le site web officiel et les points d'entrée officiels dans le jeu. Les joueurs doivent effectuer les paiements via le site web officiel ou via les magasins de paiement/application tiers désignés listés par l'officiel.</w:t>
      </w:r>
    </w:p>
    <w:p>
      <w:pPr>
        <w:keepLines w:val="0"/>
      </w:pPr>
      <w:r>
        <w:rPr>
          <w:rFonts w:ascii="Noto Sans" w:hAnsi="Noto Sans" w:eastAsia="Arial Unicode MS" w:cs="Noto Sans"/>
          <w:b w:val="0"/>
        </w:rPr>
        <w:t xml:space="preserve">Si la page de commande, le destinataire du paiement, le montant, le domaine ou l'URL de redirection diffèrent de manière significative de ce qui est divulgué publiquement sur le site officiel, suspendez toutes les transactions et vérifiez via </w:t>
      </w:r>
      <w:hyperlink r:id="rId18">
        <w:r>
          <w:rPr>
            <w:rFonts w:ascii="Noto Sans" w:hAnsi="Noto Sans" w:eastAsia="Arial Unicode MS"/>
            <w:b w:val="0"/>
          </w:rPr>
          <w:t xml:space="preserve">billing@dawnbloom.net</w:t>
        </w:r>
      </w:hyperlink>
      <w:r>
        <w:rPr>
          <w:rFonts w:ascii="Noto Sans" w:hAnsi="Noto Sans" w:eastAsia="Arial Unicode MS" w:cs="Noto Sans"/>
          <w:b w:val="0"/>
        </w:rPr>
        <w:t xml:space="preserve"> ou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 Les paiements privés hors ligne ou les services privés de « rechargement dans le jeu » ne sont pas considérés comme des transactions officielles.</w:t>
      </w:r>
    </w:p>
    <w:p>
      <w:pPr>
        <w:pStyle w:val="Heading1"/>
        <w:keepLines w:val="0"/>
      </w:pPr>
      <w:r>
        <w:rPr>
          <w:rFonts w:ascii="Noto Sans" w:hAnsi="Noto Sans" w:eastAsia="Arial Unicode MS" w:cs="Noto Sans"/>
          <w:b w:val="0"/>
        </w:rPr>
        <w:t>Section Sept : Que faire en cas de réception de messages suspects</w:t>
      </w:r>
    </w:p>
    <w:p>
      <w:pPr>
        <w:pStyle w:val="ListBullet"/>
        <w:keepLines w:val="0"/>
      </w:pPr>
      <w:r>
        <w:rPr>
          <w:rFonts w:ascii="Noto Sans" w:hAnsi="Noto Sans" w:eastAsia="Arial Unicode MS" w:cs="Noto Sans"/>
          <w:b w:val="0"/>
        </w:rPr>
        <w:t>Ne continuez pas : Ne cliquez pas sur les liens, ne scannez pas les codes QR, ne téléchargez pas de fichiers, n'entrez pas d'informations de compte ou n'effectuez pas de paiements.</w:t>
      </w:r>
    </w:p>
    <w:p>
      <w:pPr>
        <w:pStyle w:val="ListBullet"/>
        <w:keepLines w:val="0"/>
      </w:pPr>
      <w:r>
        <w:rPr>
          <w:rFonts w:ascii="Noto Sans" w:hAnsi="Noto Sans" w:eastAsia="Arial Unicode MS" w:cs="Noto Sans"/>
          <w:b w:val="0"/>
        </w:rPr>
        <w:t>Conservez les preuves : Enregistrez la page d'accueil de votre compte, les historiques de chat, les liens, les codes QR, les pages de transfert, les numéros de commande et les horodatages.</w:t>
      </w:r>
    </w:p>
    <w:p>
      <w:pPr>
        <w:pStyle w:val="ListBullet"/>
        <w:keepLines w:val="0"/>
      </w:pPr>
      <w:r>
        <w:rPr>
          <w:rFonts w:ascii="Noto Sans" w:hAnsi="Noto Sans" w:eastAsia="Arial Unicode MS" w:cs="Noto Sans"/>
          <w:b w:val="0"/>
        </w:rPr>
        <w:t>Tapez vous-même l'adresse du site principal et utilisez sa navigation pour accéder à Player Center, Support ou Downloads. Ne vous fiez pas à l'étiquette de lien d'un étranger. Connectez-vous via le Player Center du site principal ; ouvrez la récupération et les contrôles sensibles depuis Support Account Management. Utilisez les entrées de boutique, de rechargement et de facturation du site principal pour les paiements et les commandes, en vérifiant la disponibilité réelle et toute plateforme de paiement sur ces pages.</w:t>
      </w:r>
    </w:p>
    <w:p>
      <w:pPr>
        <w:pStyle w:val="ListBullet"/>
        <w:keepLines w:val="0"/>
      </w:pPr>
      <w:r>
        <w:rPr>
          <w:rFonts w:ascii="Noto Sans" w:hAnsi="Noto Sans" w:eastAsia="Arial Unicode MS" w:cs="Noto Sans"/>
          <w:b w:val="0"/>
        </w:rPr>
        <w:t>Si les informations du compte ont déjà été saisies : changez immédiatement votre mot de passe, déconnectez-vous de toutes les autres sessions actives et vérifiez la sécurité des e-mails associés, d'Apple, de Steam, de WeChat et d'autres comptes tiers.</w:t>
      </w:r>
    </w:p>
    <w:p>
      <w:pPr>
        <w:pStyle w:val="ListBullet"/>
        <w:keepLines w:val="0"/>
      </w:pPr>
      <w:r>
        <w:rPr>
          <w:rFonts w:ascii="Noto Sans" w:hAnsi="Noto Sans" w:eastAsia="Arial Unicode MS" w:cs="Noto Sans"/>
          <w:b w:val="0"/>
        </w:rPr>
        <w:t>Si le paiement a déjà été effectué : contactez rapidement la plateforme de paiement, la banque émettrice ou l'institution financière concernée pour demander un arrêt de paiement, un appel ou un gel ; dans les cas impliquant des montants importants ou des activités criminelles présumées, signalez l'incident aux autorités policières locales immédiatement.</w:t>
      </w:r>
    </w:p>
    <w:p>
      <w:pPr>
        <w:pStyle w:val="ListBullet"/>
        <w:keepLines w:val="0"/>
      </w:pPr>
      <w:r>
        <w:rPr>
          <w:rFonts w:ascii="Noto Sans" w:hAnsi="Noto Sans" w:eastAsia="Arial Unicode MS" w:cs="Noto Sans"/>
          <w:b w:val="0"/>
        </w:rPr>
        <w:t>Si un compte falsifié est découvert : signalez-le sur la plateforme correspondante et envoyez le lien de la page au service client officiel pour une vérification supplémentaire et une divulgation publique.</w:t>
      </w:r>
    </w:p>
    <w:p>
      <w:pPr>
        <w:pStyle w:val="Heading1"/>
        <w:keepLines w:val="0"/>
      </w:pPr>
      <w:r>
        <w:rPr>
          <w:rFonts w:ascii="Noto Sans" w:hAnsi="Noto Sans" w:eastAsia="Arial Unicode MS" w:cs="Noto Sans"/>
          <w:b w:val="0"/>
        </w:rPr>
        <w:t>Huit. Informations que l'officiel peut demander pour vérification</w:t>
      </w:r>
    </w:p>
    <w:p>
      <w:pPr>
        <w:keepLines w:val="0"/>
      </w:pPr>
      <w:r>
        <w:rPr>
          <w:rFonts w:ascii="Noto Sans" w:hAnsi="Noto Sans" w:eastAsia="Arial Unicode MS" w:cs="Noto Sans"/>
          <w:b w:val="0"/>
        </w:rPr>
        <w:t>Pour résoudre les problèmes liés aux comptes, commandes, vol de compte, transactions anormales ou litiges avec le service client, les officiels peuvent vous demander de fournir des informations de vérification nécessaires, telles que : nom du compte, nom du personnage/ID du personnage, numéro de commande, heure de survenue de l'incident, détails de l'appareil ou de connexion, captures d'écran du jeu, captures d'écran de chat pertinentes et vos informations de contact soumises activement.</w:t>
      </w:r>
    </w:p>
    <w:p>
      <w:pPr>
        <w:keepLines w:val="0"/>
      </w:pPr>
      <w:r>
        <w:rPr>
          <w:rFonts w:ascii="Noto Sans" w:hAnsi="Noto Sans" w:eastAsia="Arial Unicode MS" w:cs="Noto Sans"/>
          <w:b w:val="0"/>
        </w:rPr>
        <w:t>Nous adhérons au principe de la minimisation des données nécessaires et ne demanderons aucune information d'identification à haut risque non liée au problème. En particulier, nous ne demanderons jamais votre mot de passe de compte, mot de passe de paiement ou code de vérification à usage unique.</w:t>
      </w:r>
    </w:p>
    <w:p>
      <w:pPr>
        <w:pStyle w:val="Heading1"/>
        <w:keepLines w:val="0"/>
      </w:pPr>
      <w:r>
        <w:rPr>
          <w:rFonts w:ascii="Noto Sans" w:hAnsi="Noto Sans" w:eastAsia="Arial Unicode MS" w:cs="Noto Sans"/>
          <w:b w:val="0"/>
        </w:rPr>
        <w:t>Neuf. Priorité des communications officielles</w:t>
      </w:r>
    </w:p>
    <w:p>
      <w:pPr>
        <w:keepLines w:val="0"/>
      </w:pPr>
      <w:r>
        <w:rPr>
          <w:rFonts w:ascii="Noto Sans" w:hAnsi="Noto Sans" w:eastAsia="Arial Unicode MS" w:cs="Noto Sans"/>
          <w:b w:val="0"/>
        </w:rPr>
        <w:t>En cas de divergences entre les informations diffusées via différentes plateformes sociales, les récits de joueurs, les captures d'écran de chats de groupe ou les sites web tiers, les annonces officielles sur dawnbloom.net, les documents juridiques correspondants et les avis officiels dans le jeu auront préséance. Les déclarations individuelles des joueurs, streamers, administrateurs de groupes, bénévoles, partenaires ou membres de la communauté ne constituent pas une représentation officielle de la position de DAWNBLOOM(DAWNBLOOM).</w:t>
      </w:r>
    </w:p>
    <w:p>
      <w:pPr>
        <w:pStyle w:val="Heading1"/>
        <w:keepLines w:val="0"/>
      </w:pPr>
      <w:r>
        <w:rPr>
          <w:rFonts w:ascii="Noto Sans" w:hAnsi="Noto Sans" w:eastAsia="Arial Unicode MS" w:cs="Noto Sans"/>
          <w:b w:val="0"/>
        </w:rPr>
        <w:t>Dix. Carte d'identification rapide anti-fraude</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Si la personne dit ce qui suit :</w:t>
            </w:r>
          </w:p>
        </w:tc>
        <w:tc>
          <w:tcPr>
            <w:tcW w:type="dxa" w:w="4873"/>
            <w:vAlign w:val="center"/>
            <w:shd w:fill="DCE8F7"/>
          </w:tcPr>
          <w:p>
            <w:pPr>
              <w:keepNext/>
              <w:spacing w:after="40"/>
            </w:pPr>
            <w:r>
              <w:rPr>
                <w:rFonts w:ascii="Noto Sans" w:hAnsi="Noto Sans" w:eastAsia="Arial Unicode MS" w:cs="Noto Sans"/>
                <w:b/>
                <w:sz w:val="17"/>
              </w:rPr>
              <w:t>Votre première réaction devrait être :</w:t>
            </w:r>
          </w:p>
        </w:tc>
      </w:tr>
      <w:tr>
        <w:trPr>
          <w:cantSplit/>
        </w:trPr>
        <w:tc>
          <w:tcPr>
            <w:tcW w:type="dxa" w:w="4873"/>
            <w:vAlign w:val="center"/>
          </w:tcPr>
          <w:p>
            <w:pPr>
              <w:spacing w:after="40"/>
            </w:pPr>
            <w:r>
              <w:rPr>
                <w:rFonts w:ascii="Noto Sans" w:hAnsi="Noto Sans" w:eastAsia="Arial Unicode MS" w:cs="Noto Sans"/>
                <w:sz w:val="17"/>
              </w:rPr>
              <w:t>"Anomalie de compte — envoyez-moi le code de vérification."</w:t>
            </w:r>
          </w:p>
        </w:tc>
        <w:tc>
          <w:tcPr>
            <w:tcW w:type="dxa" w:w="4873"/>
            <w:vAlign w:val="center"/>
          </w:tcPr>
          <w:p>
            <w:pPr>
              <w:spacing w:after="40"/>
            </w:pPr>
            <w:r>
              <w:rPr>
                <w:rFonts w:ascii="Noto Sans" w:hAnsi="Noto Sans" w:eastAsia="Arial Unicode MS" w:cs="Noto Sans"/>
                <w:sz w:val="17"/>
              </w:rPr>
              <w:t>Ne pas envoyer. Les canaux officiels ne demanderont jamais de code de vérification à usage unique.</w:t>
            </w:r>
          </w:p>
        </w:tc>
      </w:tr>
      <w:tr>
        <w:trPr>
          <w:cantSplit/>
        </w:trPr>
        <w:tc>
          <w:tcPr>
            <w:tcW w:type="dxa" w:w="4873"/>
            <w:vAlign w:val="center"/>
          </w:tcPr>
          <w:p>
            <w:pPr>
              <w:spacing w:after="40"/>
            </w:pPr>
            <w:r>
              <w:rPr>
                <w:rFonts w:ascii="Noto Sans" w:hAnsi="Noto Sans" w:eastAsia="Arial Unicode MS" w:cs="Noto Sans"/>
                <w:sz w:val="17"/>
              </w:rPr>
              <w:t>"Transférez d'abord les fonds ; après le remboursement, nous rendrons l'argent ensemble."</w:t>
            </w:r>
          </w:p>
        </w:tc>
        <w:tc>
          <w:tcPr>
            <w:tcW w:type="dxa" w:w="4873"/>
            <w:vAlign w:val="center"/>
          </w:tcPr>
          <w:p>
            <w:pPr>
              <w:spacing w:after="40"/>
            </w:pPr>
            <w:r>
              <w:rPr>
                <w:rFonts w:ascii="Noto Sans" w:hAnsi="Noto Sans" w:eastAsia="Arial Unicode MS" w:cs="Noto Sans"/>
                <w:sz w:val="17"/>
              </w:rPr>
              <w:t>Ne pas payer. Les remboursements officiels ne demanderont jamais de transférer de l'argent en premier sur un compte personnel.</w:t>
            </w:r>
          </w:p>
        </w:tc>
      </w:tr>
      <w:tr>
        <w:trPr>
          <w:cantSplit/>
        </w:trPr>
        <w:tc>
          <w:tcPr>
            <w:tcW w:type="dxa" w:w="4873"/>
            <w:vAlign w:val="center"/>
          </w:tcPr>
          <w:p>
            <w:pPr>
              <w:spacing w:after="40"/>
            </w:pPr>
            <w:r>
              <w:rPr>
                <w:rFonts w:ascii="Noto Sans" w:hAnsi="Noto Sans" w:eastAsia="Arial Unicode MS" w:cs="Noto Sans"/>
                <w:sz w:val="17"/>
              </w:rPr>
              <w:t>"Transférez vos bêtes phantômes ou équipements sur un compte sécurisé pour inspection."</w:t>
            </w:r>
          </w:p>
        </w:tc>
        <w:tc>
          <w:tcPr>
            <w:tcW w:type="dxa" w:w="4873"/>
            <w:vAlign w:val="center"/>
          </w:tcPr>
          <w:p>
            <w:pPr>
              <w:spacing w:after="40"/>
            </w:pPr>
            <w:r>
              <w:rPr>
                <w:rFonts w:ascii="Noto Sans" w:hAnsi="Noto Sans" w:eastAsia="Arial Unicode MS" w:cs="Noto Sans"/>
                <w:sz w:val="17"/>
              </w:rPr>
              <w:t>Ne pas transférer. Les canaux officiels ne demanderont jamais de vérification d'actifs via les comptes de personnages des joueurs.</w:t>
            </w:r>
          </w:p>
        </w:tc>
      </w:tr>
      <w:tr>
        <w:trPr>
          <w:cantSplit/>
        </w:trPr>
        <w:tc>
          <w:tcPr>
            <w:tcW w:type="dxa" w:w="4873"/>
            <w:vAlign w:val="center"/>
          </w:tcPr>
          <w:p>
            <w:pPr>
              <w:spacing w:after="40"/>
            </w:pPr>
            <w:r>
              <w:rPr>
                <w:rFonts w:ascii="Noto Sans" w:hAnsi="Noto Sans" w:eastAsia="Arial Unicode MS" w:cs="Noto Sans"/>
                <w:sz w:val="17"/>
              </w:rPr>
              <w:t>"Cliquez sur ce lien pour vous connecter et réclamer votre récompense."</w:t>
            </w:r>
          </w:p>
        </w:tc>
        <w:tc>
          <w:tcPr>
            <w:tcW w:type="dxa" w:w="4873"/>
            <w:vAlign w:val="center"/>
          </w:tcPr>
          <w:p>
            <w:pPr>
              <w:spacing w:after="40"/>
            </w:pPr>
            <w:r>
              <w:rPr>
                <w:rFonts w:ascii="Noto Sans" w:hAnsi="Noto Sans" w:eastAsia="Arial Unicode MS" w:cs="Noto Sans"/>
                <w:sz w:val="17"/>
              </w:rPr>
              <w:t>Vérifiez d'abord que le lien appartient à dawnbloom.net ou est explicitement listé comme point d'entrée officiel sur le site web officiel.</w:t>
            </w:r>
          </w:p>
        </w:tc>
      </w:tr>
      <w:tr>
        <w:trPr>
          <w:cantSplit/>
        </w:trPr>
        <w:tc>
          <w:tcPr>
            <w:tcW w:type="dxa" w:w="4873"/>
            <w:vAlign w:val="center"/>
          </w:tcPr>
          <w:p>
            <w:pPr>
              <w:spacing w:after="40"/>
            </w:pPr>
            <w:r>
              <w:rPr>
                <w:rFonts w:ascii="Noto Sans" w:hAnsi="Noto Sans" w:eastAsia="Arial Unicode MS" w:cs="Noto Sans"/>
                <w:sz w:val="17"/>
              </w:rPr>
              <w:t>"Je suis un GM ; ajoutez mon contact privé pour traiter."</w:t>
            </w:r>
          </w:p>
        </w:tc>
        <w:tc>
          <w:tcPr>
            <w:tcW w:type="dxa" w:w="4873"/>
            <w:vAlign w:val="center"/>
          </w:tcPr>
          <w:p>
            <w:pPr>
              <w:spacing w:after="40"/>
            </w:pPr>
            <w:r>
              <w:rPr>
                <w:rFonts w:ascii="Noto Sans" w:hAnsi="Noto Sans" w:eastAsia="Arial Unicode MS" w:cs="Noto Sans"/>
                <w:sz w:val="17"/>
              </w:rPr>
              <w:t>Accédez toujours d'abord au portail du service client du site web officiel et vérifiez l'identité de la personne prétendant être un GM.</w:t>
            </w:r>
          </w:p>
        </w:tc>
      </w:tr>
      <w:tr>
        <w:trPr>
          <w:cantSplit/>
        </w:trPr>
        <w:tc>
          <w:tcPr>
            <w:tcW w:type="dxa" w:w="4873"/>
            <w:vAlign w:val="center"/>
          </w:tcPr>
          <w:p>
            <w:pPr>
              <w:spacing w:after="40"/>
            </w:pPr>
            <w:r>
              <w:rPr>
                <w:rFonts w:ascii="Noto Sans" w:hAnsi="Noto Sans" w:eastAsia="Arial Unicode MS" w:cs="Noto Sans"/>
                <w:sz w:val="17"/>
              </w:rPr>
              <w:t>"Nous te pénaliserons définitivement si nous n'agissons pas immédiatement."</w:t>
            </w:r>
          </w:p>
        </w:tc>
        <w:tc>
          <w:tcPr>
            <w:tcW w:type="dxa" w:w="4873"/>
            <w:vAlign w:val="center"/>
          </w:tcPr>
          <w:p>
            <w:pPr>
              <w:spacing w:after="40"/>
            </w:pPr>
            <w:r>
              <w:rPr>
                <w:rFonts w:ascii="Noto Sans" w:hAnsi="Noto Sans" w:eastAsia="Arial Unicode MS" w:cs="Noto Sans"/>
                <w:sz w:val="17"/>
              </w:rPr>
              <w:t>Ne vous laissez pas pressurer. Cessez immédiatement toute action et vérifiez les informations via le site web officiel.</w:t>
            </w:r>
          </w:p>
        </w:tc>
      </w:tr>
    </w:tbl>
    <w:p>
      <w:pPr>
        <w:spacing w:after="40"/>
      </w:pPr>
    </w:p>
    <w:p>
      <w:pPr>
        <w:pStyle w:val="Heading1"/>
        <w:keepLines w:val="0"/>
      </w:pPr>
      <w:r>
        <w:rPr>
          <w:rFonts w:ascii="Noto Sans" w:hAnsi="Noto Sans" w:eastAsia="Arial Unicode MS" w:cs="Noto Sans"/>
          <w:b w:val="0"/>
        </w:rPr>
        <w:t>Veuillez vous souvenir</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Les canaux officiels authentiques n'ont pas peur que vous « vérifiiez d'abord sur le site web officiel ». Toute personne qui vous incite à contourner le site web officiel, à contourner la plateforme ou à contourner les processus de paiement normaux doit être traitée avec prudence.</w:t>
              <w:br/>
              <w:br/>
              <w:t>Si vous n'êtes pas sûr qu'un message soit authentique, cessez toute action et vérifiez via support@dawnbloom.net ou https://dawnbloom.net.</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net/zh/" TargetMode="External"/><Relationship Id="rId13" Type="http://schemas.openxmlformats.org/officeDocument/2006/relationships/hyperlink" Target="https://dawnbloom.net/ja/" TargetMode="External"/><Relationship Id="rId14" Type="http://schemas.openxmlformats.org/officeDocument/2006/relationships/hyperlink" Target="https://dawnbloom.kr" TargetMode="External"/><Relationship Id="rId15" Type="http://schemas.openxmlformats.org/officeDocument/2006/relationships/hyperlink" Target="https://dawnbloom.net/kr/." TargetMode="External"/><Relationship Id="rId16" Type="http://schemas.openxmlformats.org/officeDocument/2006/relationships/hyperlink" Target="mailto:support@dawnbloom.net" TargetMode="External"/><Relationship Id="rId17" Type="http://schemas.openxmlformats.org/officeDocument/2006/relationships/hyperlink" Target="mailto:hello@dawnbloom.net" TargetMode="External"/><Relationship Id="rId18" Type="http://schemas.openxmlformats.org/officeDocument/2006/relationships/hyperlink" Target="mailto:billing@dawnbloom.net" TargetMode="External"/><Relationship Id="rId19" Type="http://schemas.openxmlformats.org/officeDocument/2006/relationships/hyperlink" Target="mailto:contact@dawnbloom.net" TargetMode="External"/><Relationship Id="rId20" Type="http://schemas.openxmlformats.org/officeDocument/2006/relationships/hyperlink" Target="mailto:legal@dawnbloom.net" TargetMode="External"/><Relationship Id="rId21" Type="http://schemas.openxmlformats.org/officeDocument/2006/relationships/hyperlink" Target="mailto:security@dawnbloom.net" TargetMode="External"/><Relationship Id="rId22" Type="http://schemas.openxmlformats.org/officeDocument/2006/relationships/hyperlink" Target="https://dawnbloom.net/zh/player-center/" TargetMode="External"/><Relationship Id="rId23" Type="http://schemas.openxmlformats.org/officeDocument/2006/relationships/hyperlink" Target="https://dawnbloom.net/zh/support/account/" TargetMode="External"/><Relationship Id="rId24" Type="http://schemas.openxmlformats.org/officeDocument/2006/relationships/hyperlink" Target="https://dawnbloom.net/zh/download/" TargetMode="External"/><Relationship Id="rId25" Type="http://schemas.openxmlformats.org/officeDocument/2006/relationships/hyperlink" Target="mailto:suppor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 des Canaux Officiels et Anti-Arnaque de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