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Informations Légales et Mentions de DAWNBLOOM</w:t>
      </w:r>
    </w:p>
    <w:p>
      <w:pPr>
        <w:keepLines w:val="0"/>
      </w:pPr>
      <w:r>
        <w:rPr>
          <w:rFonts w:ascii="Noto Sans" w:hAnsi="Noto Sans" w:eastAsia="Arial Unicode MS" w:cs="Noto Sans"/>
          <w:b w:val="0"/>
        </w:rPr>
        <w:t>Version officielle</w:t>
      </w:r>
    </w:p>
    <w:p>
      <w:pPr>
        <w:keepLines w:val="0"/>
      </w:pPr>
      <w:r>
        <w:rPr>
          <w:rFonts w:ascii="Noto Sans" w:hAnsi="Noto Sans" w:eastAsia="Arial Unicode MS" w:cs="Noto Sans"/>
          <w:b w:val="0"/>
        </w:rPr>
        <w:t>Version : V8</w:t>
      </w:r>
    </w:p>
    <w:p>
      <w:pPr>
        <w:keepLines w:val="0"/>
      </w:pPr>
      <w:r>
        <w:rPr>
          <w:rFonts w:ascii="Noto Sans" w:hAnsi="Noto Sans" w:eastAsia="Arial Unicode MS" w:cs="Noto Sans"/>
          <w:b w:val="0"/>
        </w:rPr>
        <w:t>Date d’entrée en vigueur : 10 octobre 2026</w:t>
      </w:r>
    </w:p>
    <w:p>
      <w:pPr>
        <w:keepLines w:val="0"/>
      </w:pPr>
      <w:r>
        <w:rPr>
          <w:rFonts w:ascii="Noto Sans" w:hAnsi="Noto Sans" w:eastAsia="Arial Unicode MS" w:cs="Noto Sans"/>
          <w:b w:val="0"/>
        </w:rPr>
        <w:t>Date de mise à jour : 10 octobre 2026</w:t>
      </w:r>
    </w:p>
    <w:p>
      <w:pPr>
        <w:keepLines w:val="0"/>
      </w:pPr>
      <w:r>
        <w:rPr>
          <w:rFonts w:ascii="Noto Sans" w:hAnsi="Noto Sans" w:eastAsia="Arial Unicode MS" w:cs="Noto Sans"/>
          <w:b w:val="0"/>
        </w:rPr>
        <w:t xml:space="preserve">Sites concernés :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et les sous-domaines officiels</w:t>
      </w:r>
    </w:p>
    <w:p>
      <w:pPr>
        <w:keepLines w:val="0"/>
      </w:pPr>
      <w:r>
        <w:rPr>
          <w:rFonts w:ascii="Noto Sans" w:hAnsi="Noto Sans" w:eastAsia="Arial Unicode MS" w:cs="Noto Sans"/>
          <w:b w:val="0"/>
        </w:rPr>
        <w:t>Marque concernée : les sept produits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Emplacement du fichier</w:t>
              <w:br/>
              <w:t>Ce document sert de passerelle légale officielle sur le site Web : fournissant un accès public à l'entité opérationnelle et aux canaux officiels, les déclarations de droits d'auteur et de marque, les identifiants tiers, les procédures de notification de violation, les licences ouvertes pour la republication, les déclarations de logiciels open source, les explications du service joueur IA et autres avis légaux. Les politiques de confidentialité, le comportement des joueurs, l'utilisation du site Web, la sécurité des comptes et les questions de vente et de remboursement sont régis par des documents dédiés séparés.</w:t>
            </w:r>
          </w:p>
        </w:tc>
      </w:tr>
    </w:tbl>
    <w:p>
      <w:pPr>
        <w:spacing w:after="40"/>
      </w:pPr>
    </w:p>
    <w:p>
      <w:pPr>
        <w:pStyle w:val="Heading1"/>
        <w:keepLines w:val="0"/>
      </w:pPr>
      <w:r>
        <w:rPr>
          <w:rFonts w:ascii="Noto Sans" w:hAnsi="Noto Sans" w:eastAsia="Arial Unicode MS" w:cs="Noto Sans"/>
          <w:b w:val="0"/>
        </w:rPr>
        <w:t>1. Identité Officielle, Entité Opérationnelle et Accès aux Documents Légaux</w:t>
      </w:r>
    </w:p>
    <w:p>
      <w:pPr>
        <w:keepLines w:val="0"/>
      </w:pPr>
      <w:r>
        <w:rPr>
          <w:rFonts w:ascii="Noto Sans" w:hAnsi="Noto Sans" w:eastAsia="Arial Unicode MS" w:cs="Noto Sans"/>
          <w:b w:val="0"/>
        </w:rPr>
        <w:t>DAWNBLOOM est exploité par 上海追光智创文化传媒有限公司. Le tableau identifie son unique site Web mondial et ses points d'entrée régionaux linguistiques. Les entrées régionales mènent uniquement au site principal et ne créent pas d'opérateur, de compte, de service de paiement ou de téléchargement, ni de base de données distincts. L'opérateur a fourni l'identité d'enregistrement de l'entreprise pour l'entrée chinoise. L'entrée japonaise a été enregistrée avec assistance ; son titulaire enregistré et son autorisation formelle restent à vérifier. Ce document ne prétend pas à la propriété de la société du domaine japonais. Les suffixes de domaine n'établissent ni l'hébergement en Chine continentale ni le dépôt ICP, ni une corporation ou succursale japonaise. Les autres sites, groupes, boutiques et comptes sociaux sont officiels uniquement lorsqu'ils sont expressément répertoriés par le site principal.</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Projet</w:t>
            </w:r>
          </w:p>
        </w:tc>
        <w:tc>
          <w:tcPr>
            <w:tcW w:type="dxa" w:w="4873"/>
            <w:vAlign w:val="center"/>
            <w:shd w:fill="DCE8F7"/>
          </w:tcPr>
          <w:p>
            <w:pPr>
              <w:keepNext/>
              <w:spacing w:after="40"/>
            </w:pPr>
            <w:r>
              <w:rPr>
                <w:rFonts w:ascii="Noto Sans" w:hAnsi="Noto Sans" w:eastAsia="Arial Unicode MS" w:cs="Noto Sans"/>
                <w:b/>
                <w:sz w:val="17"/>
              </w:rPr>
              <w:t>Informations officielles</w:t>
            </w:r>
          </w:p>
        </w:tc>
      </w:tr>
      <w:tr>
        <w:trPr>
          <w:cantSplit/>
        </w:trPr>
        <w:tc>
          <w:tcPr>
            <w:tcW w:type="dxa" w:w="4873"/>
            <w:vAlign w:val="center"/>
          </w:tcPr>
          <w:p>
            <w:pPr>
              <w:spacing w:after="40"/>
            </w:pPr>
            <w:r>
              <w:rPr>
                <w:rFonts w:ascii="Noto Sans" w:hAnsi="Noto Sans" w:eastAsia="Arial Unicode MS" w:cs="Noto Sans"/>
                <w:sz w:val="17"/>
              </w:rPr>
              <w:t>Opérateur / fournisseur de services du site Web</w:t>
            </w:r>
          </w:p>
        </w:tc>
        <w:tc>
          <w:tcPr>
            <w:tcW w:type="dxa" w:w="4873"/>
            <w:vAlign w:val="center"/>
          </w:tcPr>
          <w:p>
            <w:pPr>
              <w:spacing w:after="40"/>
            </w:pPr>
            <w:r>
              <w:rPr>
                <w:rFonts w:ascii="Noto Sans" w:hAnsi="Noto Sans" w:eastAsia="Arial Unicode MS" w:cs="Noto Sans"/>
                <w:sz w:val="17"/>
              </w:rPr>
              <w:t>上海追光智创文化传媒有限公司 (Nom public anglais : SHANGHAI LUMIREALM CREATIVE MEDIA CO., LTD.)</w:t>
            </w:r>
          </w:p>
        </w:tc>
      </w:tr>
      <w:tr>
        <w:trPr>
          <w:cantSplit/>
        </w:trPr>
        <w:tc>
          <w:tcPr>
            <w:tcW w:type="dxa" w:w="4873"/>
            <w:vAlign w:val="center"/>
          </w:tcPr>
          <w:p>
            <w:pPr>
              <w:spacing w:after="40"/>
            </w:pPr>
            <w:r>
              <w:rPr>
                <w:rFonts w:ascii="Noto Sans" w:hAnsi="Noto Sans" w:eastAsia="Arial Unicode MS" w:cs="Noto Sans"/>
                <w:sz w:val="17"/>
              </w:rPr>
              <w:t>Unique site Web mondial</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Entrée linguistique chinoise</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Entrée linguistique japonaise</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(disponible ; HTTPS 301)</w:t>
            </w:r>
          </w:p>
        </w:tc>
      </w:tr>
      <w:tr>
        <w:trPr>
          <w:cantSplit/>
        </w:trPr>
        <w:tc>
          <w:tcPr>
            <w:tcW w:type="dxa" w:w="4873"/>
            <w:vAlign w:val="center"/>
          </w:tcPr>
          <w:p>
            <w:pPr>
              <w:spacing w:after="40"/>
            </w:pPr>
            <w:r>
              <w:rPr>
                <w:rFonts w:ascii="Noto Sans" w:hAnsi="Noto Sans" w:eastAsia="Arial Unicode MS" w:cs="Noto Sans"/>
                <w:sz w:val="17"/>
              </w:rPr>
              <w:t>Entrée officielle langue coréenne</w:t>
            </w:r>
          </w:p>
        </w:tc>
        <w:tc>
          <w:tcPr>
            <w:tcW w:type="dxa" w:w="4873"/>
            <w:vAlign w:val="center"/>
          </w:tcPr>
          <w:p>
            <w:pPr>
              <w:spacing w:after="40"/>
            </w:pPr>
            <w:r>
              <w:rPr>
                <w:rFonts w:ascii="Noto Sans" w:hAnsi="Noto Sans" w:eastAsia="Arial Unicode MS" w:cs="Noto Sans"/>
                <w:sz w:val="17"/>
              </w:rPr>
              <w:t xml:space="preserve">Les entrées officielles en coréen dawnbloom.kr et www.dawnbloom.kr utilisent des redirections HTTPS 301 vers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Les modifications DNS peuvent prendre du temps à se propager. Elles utilisent le site web unifié et ne créent pas de site web séparé, de compte, de base de données ou de serveur de jeu coréen.</w:t>
            </w:r>
          </w:p>
        </w:tc>
      </w:tr>
      <w:tr>
        <w:trPr>
          <w:cantSplit/>
        </w:trPr>
        <w:tc>
          <w:tcPr>
            <w:tcW w:type="dxa" w:w="4873"/>
            <w:vAlign w:val="center"/>
          </w:tcPr>
          <w:p>
            <w:pPr>
              <w:spacing w:after="40"/>
            </w:pPr>
            <w:r>
              <w:rPr>
                <w:rFonts w:ascii="Noto Sans" w:hAnsi="Noto Sans" w:eastAsia="Arial Unicode MS" w:cs="Noto Sans"/>
                <w:sz w:val="17"/>
              </w:rPr>
              <w:t>Service client général</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Contact juridique/droits d'auteur</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Signalement de vulnérabilités de sécurité</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Adresse opérationnelle / adresse de contact juridique</w:t>
            </w:r>
          </w:p>
        </w:tc>
        <w:tc>
          <w:tcPr>
            <w:tcW w:type="dxa" w:w="4873"/>
            <w:vAlign w:val="center"/>
          </w:tcPr>
          <w:p>
            <w:pPr>
              <w:spacing w:after="40"/>
            </w:pPr>
            <w:r>
              <w:rPr>
                <w:rFonts w:ascii="Noto Sans" w:hAnsi="Noto Sans" w:eastAsia="Arial Unicode MS" w:cs="Noto Sans"/>
                <w:sz w:val="17"/>
              </w:rPr>
              <w:t>Pièce 218, Bâtiment 3, 336 Rue Tianjiao, Zone Spéciale de Lin-gang, Zone Pilote de Commerce Extérieur de Chine (Shanghai), Chine</w:t>
            </w:r>
          </w:p>
        </w:tc>
      </w:tr>
    </w:tbl>
    <w:p>
      <w:pPr>
        <w:spacing w:after="40"/>
      </w:pPr>
    </w:p>
    <w:p>
      <w:pPr>
        <w:keepLines w:val="0"/>
      </w:pPr>
      <w:r>
        <w:rPr>
          <w:rFonts w:ascii="Noto Sans" w:hAnsi="Noto Sans" w:eastAsia="Arial Unicode MS" w:cs="Noto Sans"/>
          <w:b w:val="0"/>
        </w:rPr>
        <w:t>L’index juridique du site officiel regroupe la « Politique de confidentialité DAWNBLOOM V8 » commune, qui couvre le jeu, les six applications, le site officiel, les comptes, la communauté et le service client, les « Conditions d’utilisation des produits et services DAWNBLOOM », les « Conditions de service de DAWNBLOOM Browser », le « Code de conduite des joueurs et règles de sanction des infractions », les « Conditions de vente et de remboursement », la « Politique relative aux Cookie et aux technologies similaires », le « Guide des créations dérivées et des contenus de fans », l’« Avis relatif aux canaux officiels et à la lutte contre les escroqueries », ainsi que le présent document. Les champs d’application précis, les versions et les explications propres aux produits sont ceux des pages officielles correspondantes ; les conditions spécifiques au navigateur n’appliquent pas les règles du jeu à la navigation ordinaire.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Rappel anti-arnaque : DAWNBLOOM officiel, l’Esprit de l’Aube et son personnel ne demanderont jamais votre mot de passe de compte, mot de passe de paiement, coordonnées complètes de carte bancaire ou code de vérification unique complet via des messages privés. Si vous rencontrez quelqu’un se faisant passer pour un « GM », un « service client » ou un « représentant officiel » qui vous demande de transférer de l’argent en privé, d’installer un logiciel non vérifié, de partager votre écran ou de fournir des mots de passe ou codes complets, arrêtez immédiatement toute action et vérifiez la demande via le site web officiel ou les canaux officiels de service client.</w:t>
            </w:r>
          </w:p>
        </w:tc>
      </w:tr>
    </w:tbl>
    <w:p>
      <w:pPr>
        <w:spacing w:after="40"/>
      </w:pPr>
    </w:p>
    <w:p>
      <w:pPr>
        <w:pStyle w:val="Heading1"/>
        <w:keepLines w:val="0"/>
      </w:pPr>
      <w:r>
        <w:rPr>
          <w:rFonts w:ascii="Noto Sans" w:hAnsi="Noto Sans" w:eastAsia="Arial Unicode MS" w:cs="Noto Sans"/>
          <w:b w:val="0"/>
        </w:rPr>
        <w:t>2. Propriété Intellectuelle et Identité de Marque de DAWNBLOOM</w:t>
      </w:r>
    </w:p>
    <w:p>
      <w:pPr>
        <w:keepLines w:val="0"/>
      </w:pPr>
      <w:r>
        <w:rPr>
          <w:rFonts w:ascii="Noto Sans" w:hAnsi="Noto Sans" w:eastAsia="Arial Unicode MS" w:cs="Noto Sans"/>
          <w:b w:val="0"/>
        </w:rPr>
        <w:t>Sauf indication contraire explicite ou propriété tierce, le contenu de DAWNBLOOM et de son site web officiel, de l’application cliente et des canaux promotionnels — y compris les noms de jeux, logos, personnages, Bêtes Fantômes, cartes, univers, intrigues, textes, œuvres artistiques, interfaces, icônes, animations, musique, effets sonores, vidéos, design visuel du site web, code logiciel, structure de base de données et autres éléments originaux et créatifs — est protégé par le droit d’auteur, les lois sur les marques, la loi sur la concurrence déloyale et autres lois applicables.</w:t>
      </w:r>
    </w:p>
    <w:p>
      <w:pPr>
        <w:keepLines w:val="0"/>
      </w:pPr>
      <w:r>
        <w:rPr>
          <w:rFonts w:ascii="Noto Sans" w:hAnsi="Noto Sans" w:eastAsia="Arial Unicode MS" w:cs="Noto Sans"/>
          <w:b w:val="0"/>
        </w:rPr>
        <w:t>Le matériel appartenant à DAWNBLOOM comprend également les noms, icônes, interfaces, conceptions clients, pages produits, captures d’écran publiées et codes des six applications. Les articles de presse, les sites web visités dans le Navigateur, les courriels utilisateurs et le contenu des fournisseurs de messagerie ne deviennent pas la propriété de DAWNBLOOM simplement parce qu’une application les affiche.</w:t>
      </w:r>
    </w:p>
    <w:p>
      <w:pPr>
        <w:keepLines w:val="0"/>
      </w:pPr>
      <w:r>
        <w:rPr>
          <w:rFonts w:ascii="Noto Sans" w:hAnsi="Noto Sans" w:eastAsia="Arial Unicode MS" w:cs="Noto Sans"/>
          <w:b w:val="0"/>
        </w:rPr>
        <w:t>"DAWNBLOOM" et les marques graphiques connexes servent d’identifiants de marque officiels du projet. Les demandes d’enregistrement de marque, les enregistrements et le champ de protection sont soumis à l’approbation finale et aux biens et services désignés déterminés par les autorités nationales chargées de la propriété intellectuelle. Le symbole de marque enregistrée (®) et les désignations similaires ne doivent être utilisés que lorsque la marque a été légalement approuvée et enregistrée, et est utilisée dans le cadre officiellement désigné ; aucune marque actuellement en cours de demande, d’examen ou en attente d’approbation finale ne doit être promue de manière à induire le public en erreur quant à l’obtention de droits exclusifs de marque.</w:t>
      </w:r>
    </w:p>
    <w:p>
      <w:pPr>
        <w:keepLines w:val="0"/>
      </w:pPr>
      <w:r>
        <w:rPr>
          <w:rFonts w:ascii="Noto Sans" w:hAnsi="Noto Sans" w:eastAsia="Arial Unicode MS" w:cs="Noto Sans"/>
          <w:b w:val="0"/>
        </w:rPr>
        <w:t>Les déclarations de droits dans ce document n'élargissent pas les droits exclusifs accordés par la loi et ne restreignent pas les usages légaux et raisonnables tels que la citation, le commentaire, le reportage d'actualités ou d'autres utilisations ne nécessitant pas d'autorisation distincte.</w:t>
      </w:r>
    </w:p>
    <w:p>
      <w:pPr>
        <w:pStyle w:val="Heading1"/>
        <w:keepLines w:val="0"/>
      </w:pPr>
      <w:r>
        <w:rPr>
          <w:rFonts w:ascii="Noto Sans" w:hAnsi="Noto Sans" w:eastAsia="Arial Unicode MS" w:cs="Noto Sans"/>
          <w:b w:val="0"/>
        </w:rPr>
        <w:t>3. Licence de Redistribution Gratuite pour le Contenu Public Officiel</w:t>
      </w:r>
    </w:p>
    <w:p>
      <w:pPr>
        <w:keepLines w:val="0"/>
      </w:pPr>
      <w:r>
        <w:rPr>
          <w:rFonts w:ascii="Noto Sans" w:hAnsi="Noto Sans" w:eastAsia="Arial Unicode MS" w:cs="Noto Sans"/>
          <w:b w:val="0"/>
        </w:rPr>
        <w:t>DAWNBLOOM souhaite la bienvenue aux joueurs, aux médias, aux diffuseurs en direct, aux communautés et aux créateurs de contenu afin de diffuser publiquement les informations sur le jeu disponibles. Pour le contenu qui a été officiellement publié via le site web officiel, les plateformes communautaires officielles ou les comptes officiels de réseaux sociaux, et qui n'a pas spécifié autrement de restrictions d'utilisation, l'opérateur accorde par la présente une licence mondiale, non exclusive et libre de redevances pour la republication et le partage, sans besoin d'approbation préalable :</w:t>
      </w:r>
    </w:p>
    <w:p>
      <w:pPr>
        <w:pStyle w:val="ListBullet"/>
        <w:keepLines w:val="0"/>
      </w:pPr>
      <w:r>
        <w:rPr>
          <w:rFonts w:ascii="Noto Sans" w:hAnsi="Noto Sans" w:eastAsia="Arial Unicode MS" w:cs="Noto Sans"/>
          <w:b w:val="0"/>
        </w:rPr>
        <w:t>Actualités officielles, annonces, notes de mise à jour des versions et informations sur les événements publics ;</w:t>
      </w:r>
    </w:p>
    <w:p>
      <w:pPr>
        <w:pStyle w:val="ListBullet"/>
        <w:keepLines w:val="0"/>
      </w:pPr>
      <w:r>
        <w:rPr>
          <w:rFonts w:ascii="Noto Sans" w:hAnsi="Noto Sans" w:eastAsia="Arial Unicode MS" w:cs="Noto Sans"/>
          <w:b w:val="0"/>
        </w:rPr>
        <w:t>Guides publics officiels, FAQ et explications des règles visibles par les joueurs ;</w:t>
      </w:r>
    </w:p>
    <w:p>
      <w:pPr>
        <w:pStyle w:val="ListBullet"/>
        <w:keepLines w:val="0"/>
      </w:pPr>
      <w:r>
        <w:rPr>
          <w:rFonts w:ascii="Noto Sans" w:hAnsi="Noto Sans" w:eastAsia="Arial Unicode MS" w:cs="Noto Sans"/>
          <w:b w:val="0"/>
        </w:rPr>
        <w:t>Captures d'écran promotionnelles officielles, affiches, bannières et supports de réseaux sociaux utilisés pour la diffusion publique ;</w:t>
      </w:r>
    </w:p>
    <w:p>
      <w:pPr>
        <w:pStyle w:val="ListBullet"/>
        <w:keepLines w:val="0"/>
      </w:pPr>
      <w:r>
        <w:rPr>
          <w:rFonts w:ascii="Noto Sans" w:hAnsi="Noto Sans" w:eastAsia="Arial Unicode MS" w:cs="Noto Sans"/>
          <w:b w:val="0"/>
        </w:rPr>
        <w:t>D'autres matériaux explicitement marqués par l'opérateur comme étant distribuables au public.</w:t>
      </w:r>
    </w:p>
    <w:p>
      <w:pPr>
        <w:keepLines w:val="0"/>
      </w:pPr>
      <w:r>
        <w:rPr>
          <w:rFonts w:ascii="Noto Sans" w:hAnsi="Noto Sans" w:eastAsia="Arial Unicode MS" w:cs="Noto Sans"/>
          <w:b w:val="0"/>
        </w:rPr>
        <w:t>Pour l'adaptation en articles, vidéos, diffusions en direct, réseaux sociaux ou différents formats, un redimensionnement, un recadrage, une compression, un sous-titrage ou une conversion de format nécessaires peuvent être effectués ; toutefois, l'intention originale du contenu officiel ne doit pas être déformée, les déclarations officielles ne doivent pas être falsifiées, aucune confusion quant à la source ne doit être causée et l'identité officielle ne doit pas être usurpée. Il est également interdit de tromper le public en lui faisant croire que tout contenu, produit ou service connexe a obtenu l'autorisation, la certification ou le parrainage officiels de DAWNBLOOM.</w:t>
      </w:r>
    </w:p>
    <w:p>
      <w:pPr>
        <w:pStyle w:val="Heading1"/>
        <w:keepLines w:val="0"/>
      </w:pPr>
      <w:r>
        <w:rPr>
          <w:rFonts w:ascii="Noto Sans" w:hAnsi="Noto Sans" w:eastAsia="Arial Unicode MS" w:cs="Noto Sans"/>
          <w:b w:val="0"/>
        </w:rPr>
        <w:t>3.1 Cette licence de redistribution gratuite NE S'ÉTEND PAS aux éléments suivants :</w:t>
      </w:r>
    </w:p>
    <w:p>
      <w:pPr>
        <w:pStyle w:val="ListBullet"/>
        <w:keepLines w:val="0"/>
      </w:pPr>
      <w:r>
        <w:rPr>
          <w:rFonts w:ascii="Noto Sans" w:hAnsi="Noto Sans" w:eastAsia="Arial Unicode MS" w:cs="Noto Sans"/>
          <w:b w:val="0"/>
        </w:rPr>
        <w:t>Usurper l'identité de DAWNBLOOM, fabriquer un site web officiel, un service client officiel, un événement officiel, une annonce officielle ou une relation d'autorisation officielle ;</w:t>
      </w:r>
    </w:p>
    <w:p>
      <w:pPr>
        <w:pStyle w:val="ListBullet"/>
        <w:keepLines w:val="0"/>
      </w:pPr>
      <w:r>
        <w:rPr>
          <w:rFonts w:ascii="Noto Sans" w:hAnsi="Noto Sans" w:eastAsia="Arial Unicode MS" w:cs="Noto Sans"/>
          <w:b w:val="0"/>
        </w:rPr>
        <w:t>Il est strictement interdit d'utiliser le nom, le logo, les personnages, les œuvres d'art ou d'autres matériaux de DAWNBLOOM pour créer, promouvoir ou exploiter des serveurs privés non autorisés, des logiciels clients piratés, des jeux contrefaits, des pages frauduleuses ou des services commerciaux susceptibles d'induire le public en erreur en lui faisant croire qu'ils sont affiliés au jeu officiel ;</w:t>
      </w:r>
    </w:p>
    <w:p>
      <w:pPr>
        <w:pStyle w:val="ListBullet"/>
        <w:keepLines w:val="0"/>
      </w:pPr>
      <w:r>
        <w:rPr>
          <w:rFonts w:ascii="Noto Sans" w:hAnsi="Noto Sans" w:eastAsia="Arial Unicode MS" w:cs="Noto Sans"/>
          <w:b w:val="0"/>
        </w:rPr>
        <w:t>Extraire, reconditionner, vendre ou distribuer des fichiers d'art originaux, le code source, les fichiers sources de musique/effets sonores, les fichiers de polices, les matériaux non publiés, les documents de planification interne, les données backend, les tables de probabilité non publiées, les formules internes, les multiplicateurs ou d'autres actifs non publics ;</w:t>
      </w:r>
    </w:p>
    <w:p>
      <w:pPr>
        <w:pStyle w:val="ListBullet"/>
        <w:keepLines w:val="0"/>
      </w:pPr>
      <w:r>
        <w:rPr>
          <w:rFonts w:ascii="Noto Sans" w:hAnsi="Noto Sans" w:eastAsia="Arial Unicode MS" w:cs="Noto Sans"/>
          <w:b w:val="0"/>
        </w:rPr>
        <w:t>Modifier les packages d'installation officiels, les correctifs ou les fichiers exécutables et les redistribuer sous le nom d'une version officielle ;</w:t>
      </w:r>
    </w:p>
    <w:p>
      <w:pPr>
        <w:pStyle w:val="ListBullet"/>
        <w:keepLines w:val="0"/>
      </w:pPr>
      <w:r>
        <w:rPr>
          <w:rFonts w:ascii="Noto Sans" w:hAnsi="Noto Sans" w:eastAsia="Arial Unicode MS" w:cs="Noto Sans"/>
          <w:b w:val="0"/>
        </w:rPr>
        <w:t>L'utilisation des matériaux officiels à des fins de fraude, de détournement malveillant de trafic, de transactions illégales, d'atteinte aux biens ou de toute autre utilisation qui nuit clairement à la sécurité des joueurs ou aux intérêts légitimes du projet.</w:t>
      </w:r>
    </w:p>
    <w:p>
      <w:pPr>
        <w:keepLines w:val="0"/>
      </w:pPr>
      <w:r>
        <w:rPr>
          <w:rFonts w:ascii="Noto Sans" w:hAnsi="Noto Sans" w:eastAsia="Arial Unicode MS" w:cs="Noto Sans"/>
          <w:b w:val="0"/>
        </w:rPr>
        <w:t>Les diffusions en direct normales, les diffusions enregistrées, les vidéos de guide, les commentaires, les discussions de fanfiction et le partage communautaire par les joueurs ne sont pas soumis à des restrictions supplémentaires en vertu de cette licence ; lorsqu'ils impliquent de la musique tierce, des polices, des logos de plateforme ou d'autres matériaux tiers, une telle utilisation doit également respecter les règles des titulaires de droits respectifs.</w:t>
      </w:r>
    </w:p>
    <w:p>
      <w:pPr>
        <w:pStyle w:val="Heading1"/>
        <w:keepLines w:val="0"/>
      </w:pPr>
      <w:r>
        <w:rPr>
          <w:rFonts w:ascii="Noto Sans" w:hAnsi="Noto Sans" w:eastAsia="Arial Unicode MS" w:cs="Noto Sans"/>
          <w:b w:val="0"/>
        </w:rPr>
        <w:t>4. Contenu Généré par les Joueurs, DAWNBLOOM Community et Plaintes pour Droits d'Auteur</w:t>
      </w:r>
    </w:p>
    <w:p>
      <w:pPr>
        <w:keepLines w:val="0"/>
      </w:pPr>
      <w:r>
        <w:rPr>
          <w:rFonts w:ascii="Noto Sans" w:hAnsi="Noto Sans" w:eastAsia="Arial Unicode MS" w:cs="Noto Sans"/>
          <w:b w:val="0"/>
        </w:rPr>
        <w:t>Si vous estimez que le contenu généré par les utilisateurs sur la DAWNBLOOM Community officielle ou d'autres pages officielles de DAWNBLOOM porte atteinte à vos droits d'auteur, droits de marque, droit à l'image, droits à la réputation ou tout autre droit et intérêt légitime, vous pouvez soumettre une plainte via le canal de contact juridique/droits d'auteur officiel. À des fins de vérification, nous recommandons de fournir :</w:t>
      </w:r>
    </w:p>
    <w:p>
      <w:pPr>
        <w:keepLines w:val="0"/>
      </w:pPr>
      <w:r>
        <w:rPr>
          <w:rFonts w:ascii="Noto Sans" w:hAnsi="Noto Sans" w:eastAsia="Arial Unicode MS" w:cs="Noto Sans"/>
          <w:b w:val="0"/>
        </w:rPr>
        <w:t>Si vous estimez que le contenu généré par les utilisateurs sur la DAWNBLOOM Community officielle ou d'autres pages officielles de DAWNBLOOM porte atteinte à vos droits d'auteur, droits de marque, droit à l'image, droits à la réputation ou tout autre droit et intérêt légitime, vous pouvez soumettre une plainte via le canal de contact juridique/droit d'auteur officiel. À des fins de vérification, nous recommandons de fournir :</w:t>
      </w:r>
    </w:p>
    <w:p>
      <w:pPr>
        <w:pStyle w:val="ListBullet"/>
        <w:keepLines w:val="0"/>
      </w:pPr>
      <w:r>
        <w:rPr>
          <w:rFonts w:ascii="Noto Sans" w:hAnsi="Noto Sans" w:eastAsia="Arial Unicode MS" w:cs="Noto Sans"/>
          <w:b w:val="0"/>
        </w:rPr>
        <w:t>Le nom ou la raison sociale du titulaire des droits et les informations de contact, y compris l'e-mail, le téléphone ou d'autres détails de contact ;</w:t>
      </w:r>
    </w:p>
    <w:p>
      <w:pPr>
        <w:pStyle w:val="ListBullet"/>
        <w:keepLines w:val="0"/>
      </w:pPr>
      <w:r>
        <w:rPr>
          <w:rFonts w:ascii="Noto Sans" w:hAnsi="Noto Sans" w:eastAsia="Arial Unicode MS" w:cs="Noto Sans"/>
          <w:b w:val="0"/>
        </w:rPr>
        <w:t>Des éléments de preuve établissant provisoirement la propriété ou l'autorisation ;</w:t>
      </w:r>
    </w:p>
    <w:p>
      <w:pPr>
        <w:pStyle w:val="ListBullet"/>
        <w:keepLines w:val="0"/>
      </w:pPr>
      <w:r>
        <w:rPr>
          <w:rFonts w:ascii="Noto Sans" w:hAnsi="Noto Sans" w:eastAsia="Arial Unicode MS" w:cs="Noto Sans"/>
          <w:b w:val="0"/>
        </w:rPr>
        <w:t>L'URL du contenu signalé, l'ID de publication, une capture d'écran ou toute autre information d'identification précise ;</w:t>
      </w:r>
    </w:p>
    <w:p>
      <w:pPr>
        <w:pStyle w:val="ListBullet"/>
        <w:keepLines w:val="0"/>
      </w:pPr>
      <w:r>
        <w:rPr>
          <w:rFonts w:ascii="Noto Sans" w:hAnsi="Noto Sans" w:eastAsia="Arial Unicode MS" w:cs="Noto Sans"/>
          <w:b w:val="0"/>
        </w:rPr>
        <w:t>Une brève déclaration concernant la prétendue violation et l'action souhaitée ;</w:t>
      </w:r>
    </w:p>
    <w:p>
      <w:pPr>
        <w:pStyle w:val="ListBullet"/>
        <w:keepLines w:val="0"/>
      </w:pPr>
      <w:r>
        <w:rPr>
          <w:rFonts w:ascii="Noto Sans" w:hAnsi="Noto Sans" w:eastAsia="Arial Unicode MS" w:cs="Noto Sans"/>
          <w:b w:val="0"/>
        </w:rPr>
        <w:t>Une déclaration confirmant l'exactitude et l'authenticité de la plainte, ainsi que votre volonté d'assumer la responsabilité de toute affirmation malveillante ou fausse.</w:t>
      </w:r>
    </w:p>
    <w:p>
      <w:pPr>
        <w:keepLines w:val="0"/>
      </w:pPr>
      <w:r>
        <w:rPr>
          <w:rFonts w:ascii="Noto Sans" w:hAnsi="Noto Sans" w:eastAsia="Arial Unicode MS" w:cs="Noto Sans"/>
          <w:b w:val="0"/>
        </w:rPr>
        <w:t>Après réception d'un avis contenant des informations de base vérifiables, l'opérateur doit, en fonction de la nature du contenu, des preuves préliminaires et des lois applicables, prendre rapidement des mesures raisonnables telles que contacter l'éditeur du contenu, restreindre l'affichage, bloquer temporairement, supprimer le contenu, déconnecter les liens, préserver les preuves, restaurer le contenu supprimé accidentellement, fournir des canaux pour les appels ou contre-notifications, ou rejeter clairement les plaintes manifestement infondées.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Conformément à la réglementation chinoise actuelle sur le droit d'auteur en ligne et aux pratiques judiciaires, le mécanisme « notification-suppression » est privilégié. Les avis d'infraction au droit d'auteur doivent inclure des informations suffisantes pour identifier le contenu ainsi que des preuves préliminaires étayant la revendication de droits ou l'infraction ; dès réception d'un avis valide, la plateforme doit prendre rapidement les mesures nécessaires adaptées aux circonstances spécifiques.</w:t>
            </w:r>
          </w:p>
        </w:tc>
      </w:tr>
    </w:tbl>
    <w:p>
      <w:pPr>
        <w:spacing w:after="40"/>
      </w:pPr>
    </w:p>
    <w:p>
      <w:pPr>
        <w:pStyle w:val="Heading1"/>
        <w:keepLines w:val="0"/>
      </w:pPr>
      <w:r>
        <w:rPr>
          <w:rFonts w:ascii="Noto Sans" w:hAnsi="Noto Sans" w:eastAsia="Arial Unicode MS" w:cs="Noto Sans"/>
          <w:b w:val="0"/>
        </w:rPr>
        <w:t>5. Plaintes pour Droits d'Auteur des Utilisateurs Américains</w:t>
      </w:r>
    </w:p>
    <w:p>
      <w:pPr>
        <w:keepLines w:val="0"/>
      </w:pPr>
      <w:r>
        <w:rPr>
          <w:rFonts w:ascii="Noto Sans" w:hAnsi="Noto Sans" w:eastAsia="Arial Unicode MS" w:cs="Noto Sans"/>
          <w:b w:val="0"/>
        </w:rPr>
        <w:t xml:space="preserve">Si vous estimez que le contenu sur la DAWNBLOOM Community ou sur le site officiel porte atteinte à vos droits d'auteur, veuillez envoyer l'URL du contenu, les détails de l'œuvre protégée, la preuve de propriété ou d'autorisation et une adresse e-mail de contact à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Nous examinerons et répondrons conformément aux règles applicables.</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est actuellement le canal général des plaintes pour violation du droit d'auteur. Cette page ne prétend pas qu'un agent désigné a été enregistré en vertu de la section 512 du DMCA, ni ne présente la boîte mail générale comme un agent désigné enregistré.</w:t>
      </w:r>
    </w:p>
    <w:p>
      <w:pPr>
        <w:keepLines w:val="0"/>
      </w:pPr>
      <w:r>
        <w:rPr>
          <w:rFonts w:ascii="Noto Sans" w:hAnsi="Noto Sans" w:eastAsia="Arial Unicode MS" w:cs="Noto Sans"/>
          <w:b w:val="0"/>
        </w:rPr>
        <w:t>Si un processus dédié de notification, de suppression et de contre-notification aux États-Unis est introduit, son champ d'application, les informations requises et les étapes de traitement seront publiés sur le point d'accès officiel.</w:t>
      </w:r>
    </w:p>
    <w:p>
      <w:pPr>
        <w:keepLines w:val="0"/>
      </w:pPr>
      <w:r>
        <w:rPr>
          <w:rFonts w:ascii="Noto Sans" w:hAnsi="Noto Sans" w:eastAsia="Arial Unicode MS" w:cs="Noto Sans"/>
          <w:b w:val="0"/>
        </w:rPr>
        <w:t>Si vous estimez que votre contenu a été supprimé par erreur, vous pouvez également demander un réexamen via cet e-mail en fournissant l'URL originale du contenu, l'avis de suppression, le fondement de vos droits ou autorisation et vos coordonnées.</w:t>
      </w:r>
    </w:p>
    <w:p>
      <w:pPr>
        <w:pStyle w:val="Heading1"/>
        <w:keepLines w:val="0"/>
      </w:pPr>
      <w:r>
        <w:rPr>
          <w:rFonts w:ascii="Noto Sans" w:hAnsi="Noto Sans" w:eastAsia="Arial Unicode MS" w:cs="Noto Sans"/>
          <w:b w:val="0"/>
        </w:rPr>
        <w:t>6. Droits d'Auteur au Japon et Contenu Généré par les Joueurs</w:t>
      </w:r>
    </w:p>
    <w:p>
      <w:pPr>
        <w:keepLines w:val="0"/>
      </w:pPr>
      <w:r>
        <w:rPr>
          <w:rFonts w:ascii="Noto Sans" w:hAnsi="Noto Sans" w:eastAsia="Arial Unicode MS" w:cs="Noto Sans"/>
          <w:b w:val="0"/>
        </w:rPr>
        <w:t>Lors de la fourniture de contenus aux utilisateurs japonais, tout partage public, téléchargement ou utilisation d'œuvres tierces doit généralement respecter la Loi japonaise sur le droit d'auteur et l'étendue de l'autorisation détenue par les titulaires de droits respectifs. L'autorisation accordée par DAWNBLOOM pour le partage de matériaux officiels couvre uniquement le contenu officiel explicitement autorisé dans la Section 3 du présent document et ne constitue pas une autorisation d'un autre titulaire de droits.</w:t>
      </w:r>
    </w:p>
    <w:p>
      <w:pPr>
        <w:keepLines w:val="0"/>
      </w:pPr>
      <w:r>
        <w:rPr>
          <w:rFonts w:ascii="Noto Sans" w:hAnsi="Noto Sans" w:eastAsia="Arial Unicode MS" w:cs="Noto Sans"/>
          <w:b w:val="0"/>
        </w:rPr>
        <w:t>Si le contenu téléchargé par les utilisateurs japonais fait l'objet d'une plainte de la part de titulaires de droits, l'opérateur peut procéder à des vérifications et traitements conformément aux lois applicables, aux règles de la plateforme et aux mécanismes spécifiés dans la Section 4 du présent document. Pour les limites applicables aux fanfictions, diffusions en direct, montages vidéo et autres œuvres de fans, consultez les actuelles Directives relatives aux Œuvres de Fans et aux Œuvres Dérivées.</w:t>
      </w:r>
    </w:p>
    <w:p>
      <w:pPr>
        <w:pStyle w:val="Heading1"/>
        <w:keepLines w:val="0"/>
      </w:pPr>
      <w:r>
        <w:rPr>
          <w:rFonts w:ascii="Noto Sans" w:hAnsi="Noto Sans" w:eastAsia="Arial Unicode MS" w:cs="Noto Sans"/>
          <w:b w:val="0"/>
        </w:rPr>
        <w:t>7. Déclarations sur les Marques et les Marques Tierces</w:t>
      </w:r>
    </w:p>
    <w:p>
      <w:pPr>
        <w:keepLines w:val="0"/>
      </w:pPr>
      <w:r>
        <w:rPr>
          <w:rFonts w:ascii="Noto Sans" w:hAnsi="Noto Sans" w:eastAsia="Arial Unicode MS" w:cs="Noto Sans"/>
          <w:b w:val="0"/>
        </w:rPr>
        <w:t>Le site web DAWNBLOOM, l'application cliente ou les supports promotionnels peuvent faire référence à des noms, marques commerciales, marques de service ou logos officiels de tiers afin d'illustrer la compatibilité avec la plateforme, les points de téléchargement, les modes de paiement, les canaux communautaires ou les services connexes. Ces références sont uniquement destinées à l'identification et n'impliquent pas que le tiers participe au développement, à la distribution, à l'exploitation, au parrainage, à la certification ou au soutien de DAWNBLOOM, sauf mention explicite contraire par écrit.</w:t>
      </w:r>
    </w:p>
    <w:p>
      <w:pPr>
        <w:keepLines w:val="0"/>
      </w:pPr>
      <w:r>
        <w:rPr>
          <w:rFonts w:ascii="Noto Sans" w:hAnsi="Noto Sans" w:eastAsia="Arial Unicode MS" w:cs="Noto Sans"/>
          <w:b w:val="0"/>
        </w:rPr>
        <w:t>Les noms et marques tels qu'Apple, Google, Microsoft, Steam, App Store, Google Play, Gmail et Outlook appartiennent à leurs propriétaires respectifs. Une référence de compatibilité ou un lien vers une boutique n'implique aucun partenariat ou approbation.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Exemples d'identifiants de tiers</w:t>
            </w:r>
          </w:p>
        </w:tc>
        <w:tc>
          <w:tcPr>
            <w:tcW w:type="dxa" w:w="4873"/>
            <w:vAlign w:val="center"/>
            <w:shd w:fill="DCE8F7"/>
          </w:tcPr>
          <w:p>
            <w:pPr>
              <w:keepNext/>
              <w:spacing w:after="40"/>
            </w:pPr>
            <w:r>
              <w:rPr>
                <w:rFonts w:ascii="Noto Sans" w:hAnsi="Noto Sans" w:eastAsia="Arial Unicode MS" w:cs="Noto Sans"/>
                <w:b/>
                <w:sz w:val="17"/>
              </w:rPr>
              <w:t>Explication</w:t>
            </w:r>
          </w:p>
        </w:tc>
      </w:tr>
      <w:tr>
        <w:trPr>
          <w:cantSplit/>
        </w:trPr>
        <w:tc>
          <w:tcPr>
            <w:tcW w:type="dxa" w:w="4873"/>
            <w:vAlign w:val="center"/>
          </w:tcPr>
          <w:p>
            <w:pPr>
              <w:spacing w:after="40"/>
            </w:pPr>
            <w:r>
              <w:rPr>
                <w:rFonts w:ascii="Noto Sans" w:hAnsi="Noto Sans" w:eastAsia="Arial Unicode MS" w:cs="Noto Sans"/>
                <w:sz w:val="17"/>
              </w:rPr>
              <w:t>Apple, App Store, Apple Pay, iPhone, iPad, Mac, etc.</w:t>
            </w:r>
          </w:p>
        </w:tc>
        <w:tc>
          <w:tcPr>
            <w:tcW w:type="dxa" w:w="4873"/>
            <w:vAlign w:val="center"/>
          </w:tcPr>
          <w:p>
            <w:pPr>
              <w:spacing w:after="40"/>
            </w:pPr>
            <w:r>
              <w:rPr>
                <w:rFonts w:ascii="Noto Sans" w:hAnsi="Noto Sans" w:eastAsia="Arial Unicode MS" w:cs="Noto Sans"/>
                <w:sz w:val="17"/>
              </w:rPr>
              <w:t>Les noms et logos référencés sont la propriété d'Apple Inc. ou de ses détenteurs de droits affiliés. Lors de l'utilisation de logos officiels tels qu'App Store ou Apple Pay, la conformité aux dernières directives en matière de marque et légales d'Apple doit être strictement respectée.</w:t>
            </w:r>
          </w:p>
        </w:tc>
      </w:tr>
      <w:tr>
        <w:trPr>
          <w:cantSplit/>
        </w:trPr>
        <w:tc>
          <w:tcPr>
            <w:tcW w:type="dxa" w:w="4873"/>
            <w:vAlign w:val="center"/>
          </w:tcPr>
          <w:p>
            <w:pPr>
              <w:spacing w:after="40"/>
            </w:pPr>
            <w:r>
              <w:rPr>
                <w:rFonts w:ascii="Noto Sans" w:hAnsi="Noto Sans" w:eastAsia="Arial Unicode MS" w:cs="Noto Sans"/>
                <w:sz w:val="17"/>
              </w:rPr>
              <w:t>Steam, Logo Steam, Valve</w:t>
            </w:r>
          </w:p>
        </w:tc>
        <w:tc>
          <w:tcPr>
            <w:tcW w:type="dxa" w:w="4873"/>
            <w:vAlign w:val="center"/>
          </w:tcPr>
          <w:p>
            <w:pPr>
              <w:spacing w:after="40"/>
            </w:pPr>
            <w:r>
              <w:rPr>
                <w:rFonts w:ascii="Noto Sans" w:hAnsi="Noto Sans" w:eastAsia="Arial Unicode MS" w:cs="Noto Sans"/>
                <w:sz w:val="17"/>
              </w:rPr>
              <w:t>Les noms et logos référencés sont la propriété de Valve Corporation ou de ses détenteurs de droits affiliés. La marque Steam ne doit pas être utilisée pour suggérer un parrainage ou un approbation de Valve pour du contenu autre que celui de 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Les noms et logos référencés appartiennent à leurs détenteurs de droits respectifs.</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Les noms et logos référencés appartiennent à leurs détenteurs de droits respectifs.</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Ceux-ci sont indiqués uniquement comme modes de paiement potentiels ou intégrations de services tiers ; les marques commerciales appartiennent à leurs détenteurs de droits respectifs.</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etc.</w:t>
            </w:r>
          </w:p>
        </w:tc>
        <w:tc>
          <w:tcPr>
            <w:tcW w:type="dxa" w:w="4873"/>
            <w:vAlign w:val="center"/>
          </w:tcPr>
          <w:p>
            <w:pPr>
              <w:spacing w:after="40"/>
            </w:pPr>
            <w:r>
              <w:rPr>
                <w:rFonts w:ascii="Noto Sans" w:hAnsi="Noto Sans" w:eastAsia="Arial Unicode MS" w:cs="Noto Sans"/>
                <w:sz w:val="17"/>
              </w:rPr>
              <w:t>Ceux-ci sont utilisés uniquement pour identifier les canaux communautaires ou sociaux officiels ou les services tiers ; les marques commerciales appartiennent à leurs détenteurs de droits respectifs.</w:t>
            </w:r>
          </w:p>
        </w:tc>
      </w:tr>
    </w:tbl>
    <w:p>
      <w:pPr>
        <w:spacing w:after="40"/>
      </w:pPr>
    </w:p>
    <w:p>
      <w:pPr>
        <w:keepLines w:val="0"/>
      </w:pPr>
      <w:r>
        <w:rPr>
          <w:rFonts w:ascii="Noto Sans" w:hAnsi="Noto Sans" w:eastAsia="Arial Unicode MS" w:cs="Noto Sans"/>
          <w:b w:val="0"/>
        </w:rPr>
        <w:t>L'opérateur s'efforcera d'utiliser les logos et actifs de marque officiels fournis par les tiers, et se conformera aux exigences concernant la taille, l'espacement, la couleur, l'étiquetage et « aucune implication d'approbation ». Les directives de marque des tiers peuvent être mises à jour ; le site web officiel suivra les directives officielles les plus récentes émises par le tiers.</w:t>
      </w:r>
    </w:p>
    <w:p>
      <w:pPr>
        <w:pStyle w:val="Heading1"/>
        <w:keepLines w:val="0"/>
      </w:pPr>
      <w:r>
        <w:rPr>
          <w:rFonts w:ascii="Noto Sans" w:hAnsi="Noto Sans" w:eastAsia="Arial Unicode MS" w:cs="Noto Sans"/>
          <w:b w:val="0"/>
        </w:rPr>
        <w:t>8. Logiciels Open Source et Déclarations sur les Composants Tierces</w:t>
      </w:r>
    </w:p>
    <w:p>
      <w:pPr>
        <w:keepLines w:val="0"/>
      </w:pPr>
      <w:r>
        <w:rPr>
          <w:rFonts w:ascii="Noto Sans" w:hAnsi="Noto Sans" w:eastAsia="Arial Unicode MS" w:cs="Noto Sans"/>
          <w:b w:val="0"/>
        </w:rPr>
        <w:t>Le client de jeu DAWNBLOOM, le serveur, le site web officiel ou les outils de développement associés peuvent inclure ou dépendre de logiciels open source tiers, de bibliothèques, de frameworks, de polices, de composants de traitement audio/vidéo et d'autres technologies. Ces composants tiers restent soumis à leurs licences respectives, aux mentions de copyright, aux exigences d'attribution et à autres conditions applicables.</w:t>
      </w:r>
    </w:p>
    <w:p>
      <w:pPr>
        <w:keepLines w:val="0"/>
      </w:pPr>
      <w:r>
        <w:rPr>
          <w:rFonts w:ascii="Noto Sans" w:hAnsi="Noto Sans" w:eastAsia="Arial Unicode MS" w:cs="Noto Sans"/>
          <w:b w:val="0"/>
        </w:rPr>
        <w:t>Les applications, le site web et le jeu peuvent chacun utiliser des composants open source. Les mentions suivent les composants dans la version réellement distribuée ; ces licences n'accordent pas à DAWNBLOOM de droits sur le contenu tiers non connexe.</w:t>
      </w:r>
    </w:p>
    <w:p>
      <w:pPr>
        <w:keepLines w:val="0"/>
      </w:pPr>
      <w:r>
        <w:rPr>
          <w:rFonts w:ascii="Noto Sans" w:hAnsi="Noto Sans" w:eastAsia="Arial Unicode MS" w:cs="Noto Sans"/>
          <w:b w:val="0"/>
        </w:rPr>
        <w:t>Au moment de la sortie officielle, l'opérateur doit maintenir une page d'Avis/Open Source ou inclure une liste de licences avec la distribution du logiciel, afin de respecter les obligations imposées par les licences MIT, Apache, BSD, OFL, LGPL/GPL ou toute autre licence effectivement utilisée.</w:t>
      </w:r>
    </w:p>
    <w:p>
      <w:pPr>
        <w:keepLines w:val="0"/>
      </w:pPr>
      <w:r>
        <w:rPr>
          <w:rFonts w:ascii="Noto Sans" w:hAnsi="Noto Sans" w:eastAsia="Arial Unicode MS" w:cs="Noto Sans"/>
          <w:b w:val="0"/>
        </w:rPr>
        <w:t>Les projets open source tiers, leurs auteurs, fondations ou titulaires de droits ne seront pas automatiquement considérés comme des sponsors, partenaires, certificateurs ou endosseurs de DAWNBLOOM simplement parce que leur technologie est utilisée.</w:t>
      </w:r>
    </w:p>
    <w:p>
      <w:pPr>
        <w:pStyle w:val="Heading1"/>
        <w:keepLines w:val="0"/>
      </w:pPr>
      <w:r>
        <w:rPr>
          <w:rFonts w:ascii="Noto Sans" w:hAnsi="Noto Sans" w:eastAsia="Arial Unicode MS" w:cs="Noto Sans"/>
          <w:b w:val="0"/>
        </w:rPr>
        <w:t>9. Liens Externes, Services Tierces et Exactitude du Contenu</w:t>
      </w:r>
    </w:p>
    <w:p>
      <w:pPr>
        <w:keepLines w:val="0"/>
      </w:pPr>
      <w:r>
        <w:rPr>
          <w:rFonts w:ascii="Noto Sans" w:hAnsi="Noto Sans" w:eastAsia="Arial Unicode MS" w:cs="Noto Sans"/>
          <w:b w:val="0"/>
        </w:rPr>
        <w:t>Le site web officiel peut contenir des liens vers Steam, l'App Store, des plateformes de réseaux sociaux, des services de paiement, des plateformes de support client ou d'autres services tiers. Les sites web et services tiers sont exploités indépendamment par leurs entités respectives, et DAWNBLOOM ne peut contrôler leur disponibilité, leur contenu, leurs pratiques en matière de confidentialité, leurs restrictions régionales, leurs conditions de service ou leurs modifications de politique.</w:t>
      </w:r>
    </w:p>
    <w:p>
      <w:pPr>
        <w:keepLines w:val="0"/>
      </w:pPr>
      <w:r>
        <w:rPr>
          <w:rFonts w:ascii="Noto Sans" w:hAnsi="Noto Sans" w:eastAsia="Arial Unicode MS" w:cs="Noto Sans"/>
          <w:b w:val="0"/>
        </w:rPr>
        <w:t>Les sources d'information, les sites externes, les fournisseurs de messagerie et les magasins d'applications contrôlent leur propre contenu, comptes et conditions. Les liens officiels vers les logiciels sont publiés sur dawnbloom.net ou dans des magasins explicitement liés depuis celui-ci.</w:t>
      </w:r>
    </w:p>
    <w:p>
      <w:pPr>
        <w:keepLines w:val="0"/>
      </w:pPr>
      <w:r>
        <w:rPr>
          <w:rFonts w:ascii="Noto Sans" w:hAnsi="Noto Sans" w:eastAsia="Arial Unicode MS" w:cs="Noto Sans"/>
          <w:b w:val="0"/>
        </w:rPr>
        <w:t>Le site web officiel fera tout son possible pour assurer l'exactitude des annonces, guides, instructions de téléchargement, informations de compatibilité et autres contenus publiquement disponibles, mais le jeu continuera d'être développé et mis à jour. Les captures d'écran, l'art conceptuel, les fonctionnalités de test, le support de plateforme prévu et le contenu non encore officiellement publié peuvent être ajustés, reportés ou annulés en fonction des progrès réels du développement. Sauf disposition contraire de la loi ou lorsque la page constitue explicitement un engagement produit ou service, le contenu affiché pendant la phase de développement ne constitue pas une garantie irrévocable pour les versions futures.</w:t>
      </w:r>
    </w:p>
    <w:p>
      <w:pPr>
        <w:keepLines w:val="0"/>
      </w:pPr>
      <w:r>
        <w:rPr>
          <w:rFonts w:ascii="Noto Sans" w:hAnsi="Noto Sans" w:eastAsia="Arial Unicode MS" w:cs="Noto Sans"/>
          <w:b w:val="0"/>
        </w:rPr>
        <w:t>Les publications, commentaires, guides et autres contenus générés par les utilisateurs (CGU) postés par les joueurs sur DAWNBLOOM Community reflètent uniquement leurs opinions individuelles et ne représentent pas nécessairement la position officielle de DAWNBLOOM.</w:t>
      </w:r>
    </w:p>
    <w:p>
      <w:pPr>
        <w:pStyle w:val="Heading1"/>
        <w:keepLines w:val="0"/>
      </w:pPr>
      <w:r>
        <w:rPr>
          <w:rFonts w:ascii="Noto Sans" w:hAnsi="Noto Sans" w:eastAsia="Arial Unicode MS" w:cs="Noto Sans"/>
          <w:b w:val="0"/>
        </w:rPr>
        <w:t>10. Guide de Dawnbloom et Services IA pour les Joueurs</w:t>
      </w:r>
    </w:p>
    <w:p>
      <w:pPr>
        <w:keepLines w:val="0"/>
      </w:pPr>
      <w:r>
        <w:rPr>
          <w:rFonts w:ascii="Noto Sans" w:hAnsi="Noto Sans" w:eastAsia="Arial Unicode MS" w:cs="Noto Sans"/>
          <w:b w:val="0"/>
        </w:rPr>
        <w:t>DAWNBLOOM AI est la marque du système d’interaction intelligent et des services techniques de notre société ; DAWNBLOOM Fairy est le compagnon intelligent et le personnage d’interaction destinés aux utilisateurs au sein de ce même ensemble de services. DAWNBLOOM AI 2.0 désigne la version publique de cet ensemble de services intelligents et ne signifie pas que notre société a entraîné de manière indépendante un grand modèle de langage de base. « DAWNBLOOM Fairy » est l’assistant de jeu intelligent et le point d’accès aux services aux joueurs fondés sur l’IA proposés par DAWNBLOOM aux joueurs. Il peut répondre aux questions portant sur les mécanismes de jeu, les quêtes, les classes, les créatures fantastiques, les cartes, les événements et les guides accessibles aux joueurs, et peut également aider au traitement de questions concernant la sécurité des comptes, les actifs du jeu, les commandes de recharge, les états anormaux et les tickets d’assistance, ou orienter vers leur traitement. Les services se limitent aux questions et réponses portant sur les connaissances publiques relatives au jeu et aux produits, aux échanges textuels en langage naturel, à l’orientation vers les services aux joueurs et aux fonctionnalités d’interface Intelligent UI effectivement accessibles ; les langues prises en charge par le site officiel n’étendent pas les langues propres au client du jeu ou à chacun des six logiciels. La génération ou la modification d’images, la création de PDF, de documents Word, de présentations ou de feuilles de calcul, ainsi que l’automatisation bureautique générale ne sont actuellement pas proposées.</w:t>
      </w:r>
    </w:p>
    <w:p>
      <w:pPr>
        <w:keepLines w:val="0"/>
      </w:pPr>
      <w:r>
        <w:rPr>
          <w:rFonts w:ascii="Noto Sans" w:hAnsi="Noto Sans" w:eastAsia="Arial Unicode MS" w:cs="Noto Sans"/>
          <w:b w:val="0"/>
        </w:rPr>
        <w:t>Le guide DAWNBLOOM peut aider les joueurs à résoudre des problèmes, notamment :</w:t>
      </w:r>
    </w:p>
    <w:p>
      <w:pPr>
        <w:pStyle w:val="ListBullet"/>
        <w:keepLines w:val="0"/>
      </w:pPr>
      <w:r>
        <w:rPr>
          <w:rFonts w:ascii="Noto Sans" w:hAnsi="Noto Sans" w:eastAsia="Arial Unicode MS" w:cs="Noto Sans"/>
          <w:b w:val="0"/>
        </w:rPr>
        <w:t>Mécaniques de jeu, progression des quêtes, développement de carrière, élevage de bêtes fantômes, exploration de la carte, règles des événements et stratégies de jeu ;</w:t>
      </w:r>
    </w:p>
    <w:p>
      <w:pPr>
        <w:pStyle w:val="ListBullet"/>
        <w:keepLines w:val="0"/>
      </w:pPr>
      <w:r>
        <w:rPr>
          <w:rFonts w:ascii="Noto Sans" w:hAnsi="Noto Sans" w:eastAsia="Arial Unicode MS" w:cs="Noto Sans"/>
          <w:b w:val="0"/>
        </w:rPr>
        <w:t>Problèmes de connexion au compte, mots de passe oubliés, vérification par e-mail ou numéro de téléphone, risques pour la sécurité du compte et suspicion de vol de compte ;</w:t>
      </w:r>
    </w:p>
    <w:p>
      <w:pPr>
        <w:pStyle w:val="ListBullet"/>
        <w:keepLines w:val="0"/>
      </w:pPr>
      <w:r>
        <w:rPr>
          <w:rFonts w:ascii="Noto Sans" w:hAnsi="Noto Sans" w:eastAsia="Arial Unicode MS" w:cs="Noto Sans"/>
          <w:b w:val="0"/>
        </w:rPr>
        <w:t>Perte, écarts de quantité ou anomalies d'état des personnages, objets, équipements, bêtes fantômes, pièces d'or ou pièces magiques ;</w:t>
      </w:r>
    </w:p>
    <w:p>
      <w:pPr>
        <w:pStyle w:val="ListBullet"/>
        <w:keepLines w:val="0"/>
      </w:pPr>
      <w:r>
        <w:rPr>
          <w:rFonts w:ascii="Noto Sans" w:hAnsi="Noto Sans" w:eastAsia="Arial Unicode MS" w:cs="Noto Sans"/>
          <w:b w:val="0"/>
        </w:rPr>
        <w:t>Dépenses anormales, gains anormaux, anomalies de transaction, récompenses non reçues, anomalies dans les récompenses d'événements ou anomalies dans les messages ou systèmes de messagerie ;</w:t>
      </w:r>
    </w:p>
    <w:p>
      <w:pPr>
        <w:pStyle w:val="ListBullet"/>
        <w:keepLines w:val="0"/>
      </w:pPr>
      <w:r>
        <w:rPr>
          <w:rFonts w:ascii="Noto Sans" w:hAnsi="Noto Sans" w:eastAsia="Arial Unicode MS" w:cs="Noto Sans"/>
          <w:b w:val="0"/>
        </w:rPr>
        <w:t>Recharges, commandes, achats en magasin, échanges et questions liées à la livraison ou à la confirmation ;</w:t>
      </w:r>
    </w:p>
    <w:p>
      <w:pPr>
        <w:pStyle w:val="ListBullet"/>
        <w:keepLines w:val="0"/>
      </w:pPr>
      <w:r>
        <w:rPr>
          <w:rFonts w:ascii="Noto Sans" w:hAnsi="Noto Sans" w:eastAsia="Arial Unicode MS" w:cs="Noto Sans"/>
          <w:b w:val="0"/>
        </w:rPr>
        <w:t>Retours sur les bugs du jeu, dysfonctionnements, plantages, déconnexions ou désynchronisation des données ;</w:t>
      </w:r>
    </w:p>
    <w:p>
      <w:pPr>
        <w:pStyle w:val="ListBullet"/>
        <w:keepLines w:val="0"/>
      </w:pPr>
      <w:r>
        <w:rPr>
          <w:rFonts w:ascii="Noto Sans" w:hAnsi="Noto Sans" w:eastAsia="Arial Unicode MS" w:cs="Noto Sans"/>
          <w:b w:val="0"/>
        </w:rPr>
        <w:t>Appels concernant les pertes de personnages, objets, bêtes fantômes et devises résultant du vol de compte ;</w:t>
      </w:r>
    </w:p>
    <w:p>
      <w:pPr>
        <w:pStyle w:val="ListBullet"/>
        <w:keepLines w:val="0"/>
      </w:pPr>
      <w:r>
        <w:rPr>
          <w:rFonts w:ascii="Noto Sans" w:hAnsi="Noto Sans" w:eastAsia="Arial Unicode MS" w:cs="Noto Sans"/>
          <w:b w:val="0"/>
        </w:rPr>
        <w:t>Guide pour les demandes d'information et les appels concernant les interdictions de compte, restrictions ou autres états anormaux ;</w:t>
      </w:r>
    </w:p>
    <w:p>
      <w:pPr>
        <w:pStyle w:val="ListBullet"/>
        <w:keepLines w:val="0"/>
      </w:pPr>
      <w:r>
        <w:rPr>
          <w:rFonts w:ascii="Noto Sans" w:hAnsi="Noto Sans" w:eastAsia="Arial Unicode MS" w:cs="Noto Sans"/>
          <w:b w:val="0"/>
        </w:rPr>
        <w:t>Autres problèmes nécessitant l'assistance du centre d'aide aux joueurs.</w:t>
      </w:r>
    </w:p>
    <w:p>
      <w:pPr>
        <w:keepLines w:val="0"/>
      </w:pPr>
      <w:r>
        <w:rPr>
          <w:rFonts w:ascii="Noto Sans" w:hAnsi="Noto Sans" w:eastAsia="Arial Unicode MS" w:cs="Noto Sans"/>
          <w:b w:val="0"/>
        </w:rPr>
        <w:t>Pour les questions pouvant être appréciées directement à partir d’informations publiques, DAWNBLOOM Fairy peut fournir une réponse immédiate ou des indications de résolution ; pour les questions nécessitant la vérification des données du serveur, notamment en matière de sécurité des comptes, d’historique des transactions, d’actifs du jeu, de restauration de données, de pertes liées à un vol ou de recours contre des sanctions, DAWNBLOOM Fairy peut aider à effectuer la vérification d’identité, à organiser les informations nécessaires, à élaborer une procédure de traitement, à créer ou à transmettre un ticket officiel et à effectuer les vérifications à partir des données du serveur, des journaux d’opérations et d’autres données fiables. Intelligent UI associe les réponses à des fiches d’information interactives, à des accès aux fonctionnalités et à des interfaces de confirmation. Les informations concernant les créatures fantastiques, les équipements, les objets, les historiques personnels de jeu et la sécurité du compte ne sont fournies que si la fonctionnalité concernée est accessible, si la personne concernée a valablement donné son autorisation et si le système serveur a confirmé son identité et les droits d’accès correspondants. L’apparition d’une réponse de l’IA, d’une fiche ou d’un bouton ne signifie pas qu’une opération a été exécutée ; les opérations sensibles doivent faire l’objet d’une vérification officielle et des confirmations nécessaires, et leur résultat est celui indiqué par le système. Il est interdit de contourner le système d’autorisations pour modifier les données des joueurs ou consulter les informations non publiques d’autrui.</w:t>
      </w:r>
    </w:p>
    <w:p>
      <w:pPr>
        <w:keepLines w:val="0"/>
      </w:pPr>
      <w:r>
        <w:rPr>
          <w:rFonts w:ascii="Noto Sans" w:hAnsi="Noto Sans" w:eastAsia="Arial Unicode MS" w:cs="Noto Sans"/>
          <w:b w:val="0"/>
        </w:rPr>
        <w:t>Le guide DAWNBLOOM ne modifiera pas directement les actifs du jeu ou les données back-end uniquement sur demande du joueur. Les questions impliquant la restauration d'objets, la restauration de bêtes fantômes, les pièces d'or ou magiques anormales, les pertes dues au vol, les litiges de transaction, l'attribution de récompenses ou les pénalités de compte doivent être traitées sur la base des enregistrements réels, des autorisations basées sur les règles et des procédures de révision nécessaires. Pour protéger la sécurité du compte, le guide DAWNBLOOM ne demandera jamais aux joueurs de fournir des mots de passe de compte ou des codes de vérification uniques complets. Pour les opérations de compte à haut risque, des mécanismes officiels de vérification d'identité seront toujours requis pour la confirmation.</w:t>
      </w:r>
    </w:p>
    <w:p>
      <w:pPr>
        <w:keepLines w:val="0"/>
      </w:pPr>
      <w:r>
        <w:rPr>
          <w:rFonts w:ascii="Noto Sans" w:hAnsi="Noto Sans" w:eastAsia="Arial Unicode MS" w:cs="Noto Sans"/>
          <w:b w:val="0"/>
        </w:rPr>
        <w:t>DAWNBLOOM ne divulguera pas les champs backend, les formules de calcul internes, les probabilités non annoncées, les multiplicateurs internes, les stratégies de sécurité, les méthodes d'exploitation des vulnérabilités, les documents de planification non publiés, les informations administratives ou toute autre donnée non publique aux joueurs. Le système d'IA peut présenter des erreurs de compréhension, un retard d'information ou une expression incomplète ; si une réponse de Dawnbloom Guide entre en conflit avec les annonces officielles, les pages produit, Politique de confidentialité, Règles du joueur et politique d'application, Conditions de vente et de remboursement, les données officiellement vérifiées ou les résultats révisés manuellement prévaudront.</w:t>
      </w:r>
    </w:p>
    <w:p>
      <w:pPr>
        <w:keepLines w:val="0"/>
      </w:pPr>
      <w:r>
        <w:rPr>
          <w:rFonts w:ascii="Noto Sans" w:hAnsi="Noto Sans" w:eastAsia="Arial Unicode MS" w:cs="Noto Sans"/>
          <w:b w:val="0"/>
        </w:rPr>
        <w:t>L’intégration technique utilise les capacités de Qwen proposées par Alibaba Cloud Model Studio ; l’accès au modèle utilise un point de terminaison de la région de Tokyo, au Japon. La région où se trouve ce point de terminaison ne signifie pas que toutes les données des utilisateurs sont traitées uniquement au Japon et ne remplace pas la vérification des accords de service effectivement applicables, des journaux du prestataire, des contrôles relatifs à l’entraînement, des paramètres de conservation et des obligations liées aux transferts transfrontaliers. OpenAI Codex participe à la constitution du corpus de connaissances, au développement des fonctionnalités, à la conception des interactions et à l’amélioration continue ; cela ne lui donne pas automatiquement accès aux données de conversation des utilisateurs et ne signifie pas qu’il a entraîné le modèle de base Qwen.</w:t>
      </w:r>
    </w:p>
    <w:p>
      <w:pPr>
        <w:pStyle w:val="Heading1"/>
        <w:keepLines w:val="0"/>
      </w:pPr>
      <w:r>
        <w:rPr>
          <w:rFonts w:ascii="Noto Sans" w:hAnsi="Noto Sans" w:eastAsia="Arial Unicode MS" w:cs="Noto Sans"/>
          <w:b w:val="0"/>
        </w:rPr>
        <w:t>11. Vulnérabilités de Sécurité, Avis Légaux et Demandes des Forces de l'Ordre</w:t>
      </w:r>
    </w:p>
    <w:p>
      <w:pPr>
        <w:keepLines w:val="0"/>
      </w:pPr>
      <w:r>
        <w:rPr>
          <w:rFonts w:ascii="Noto Sans" w:hAnsi="Noto Sans" w:eastAsia="Arial Unicode MS" w:cs="Noto Sans"/>
          <w:b w:val="0"/>
        </w:rPr>
        <w:t xml:space="preserve">Si vous découvrez des vulnérabilités sur le site officiel, le système de comptes, la DAWNBLOOM Community, le service client IA ou les services du jeu qui pourraient compromettre la sécurité des comptes, des données ou des services des joueurs, nous vous recommandons de les signaler de manière responsable via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ou le support client officiel. Ne divulguez pas publiquement les détails des exploitations, les méthodes de copie d'objets, les scripts d'attaque, les identifiants de connexion, les informations personnelles d'autrui ou les données internes du back-end susceptibles d'être immédiatement détournées.</w:t>
      </w:r>
    </w:p>
    <w:p>
      <w:pPr>
        <w:keepLines w:val="0"/>
      </w:pPr>
      <w:r>
        <w:rPr>
          <w:rFonts w:ascii="Noto Sans" w:hAnsi="Noto Sans" w:eastAsia="Arial Unicode MS" w:cs="Noto Sans"/>
          <w:b w:val="0"/>
        </w:rPr>
        <w:t>Les demandes de conservation, de divulgation, de suppression, de blocage ou d'assistance soumises par des tribunaux, des autorités de régulation, des agences d'application de la loi ou d'autres entités légalement autorisées seront examinées et traitées conformément aux lois applicables, à l'autorité de la demande, à l'authenticité et à la nécessité. Les limites relatives à la divulgation et à la conservation des informations personnelles sont spécifiées dans la Politique de confidentialité.</w:t>
      </w:r>
    </w:p>
    <w:p>
      <w:pPr>
        <w:pStyle w:val="Heading1"/>
        <w:keepLines w:val="0"/>
      </w:pPr>
      <w:r>
        <w:rPr>
          <w:rFonts w:ascii="Noto Sans" w:hAnsi="Noto Sans" w:eastAsia="Arial Unicode MS" w:cs="Noto Sans"/>
          <w:b w:val="0"/>
        </w:rPr>
        <w:t>12. Index des Informations Légales Régionales</w:t>
      </w:r>
    </w:p>
    <w:p>
      <w:pPr>
        <w:keepLines w:val="0"/>
      </w:pPr>
      <w:r>
        <w:rPr>
          <w:rFonts w:ascii="Noto Sans" w:hAnsi="Noto Sans" w:eastAsia="Arial Unicode MS" w:cs="Noto Sans"/>
          <w:b w:val="0"/>
        </w:rPr>
        <w:t>Cette page sert de point d'entrée général pour les informations légales et ne remplace pas les divulgations statutaires obligatoires requises par les juridictions applicables. En cas de changement concernant l'entité opératrice, l'emplacement du serveur, la méthode de traitement des paiements, les informations du vendeur, le modèle UGC du forum ou les politiques de la boutique d'applications, les pages légales correspondantes seront mises à jour en conséquence.</w:t>
      </w:r>
    </w:p>
    <w:p>
      <w:pPr>
        <w:pStyle w:val="Heading1"/>
        <w:keepLines w:val="0"/>
      </w:pPr>
      <w:r>
        <w:rPr>
          <w:rFonts w:ascii="Noto Sans" w:hAnsi="Noto Sans" w:eastAsia="Arial Unicode MS" w:cs="Noto Sans"/>
          <w:b w:val="0"/>
        </w:rPr>
        <w:t>13. Nous contacter</w:t>
      </w:r>
    </w:p>
    <w:p>
      <w:pPr>
        <w:keepLines w:val="0"/>
      </w:pPr>
      <w:r>
        <w:rPr>
          <w:rFonts w:ascii="Noto Sans" w:hAnsi="Noto Sans" w:eastAsia="Arial Unicode MS" w:cs="Noto Sans"/>
          <w:b w:val="0"/>
        </w:rPr>
        <w:t xml:space="preserve">Support général des joueurs :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 demandes juridiques, relatives aux droits d'auteur et à la confidentialité :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 vulnérabilités de sécurité et incidents de sécurité :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 médias et coopération commerciale :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Les domaines officiels et les entrées régionales sont identifiés dans la section 1 ; les domaines de protection de marque existants sont listés dans l'Actuel Avis des Canaux Officiels et Anti-Arnaque. Le compte DAWNBLOOM et DAWNBLOOM Community restent partie du même service, et les adresses e-mail officielles utilisent @dawnbloom.net.</w:t>
      </w:r>
    </w:p>
    <w:p>
      <w:pPr>
        <w:keepLines w:val="0"/>
      </w:pPr>
      <w:r>
        <w:rPr>
          <w:rFonts w:ascii="Noto Sans" w:hAnsi="Noto Sans" w:eastAsia="Arial Unicode MS" w:cs="Noto Sans"/>
          <w:b w:val="0"/>
        </w:rPr>
        <w:t>Opérateur / fournisseur de services Web : Shanghai Zhuiguang Zhichuang Cultural Media Co., Ltd. (nom public anglais : SHANGHAI LUMIREALM CREATIVE MEDIA CO., LTD.)</w:t>
      </w:r>
    </w:p>
    <w:p>
      <w:pPr>
        <w:keepLines w:val="0"/>
      </w:pPr>
      <w:r>
        <w:rPr>
          <w:rFonts w:ascii="Noto Sans" w:hAnsi="Noto Sans" w:eastAsia="Arial Unicode MS" w:cs="Noto Sans"/>
          <w:b w:val="0"/>
        </w:rPr>
        <w:t>Adresse des opérations / Adresse officielle de contact :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Légales et Mentions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