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Conditions d’utilisation de DAWNBLOOM Download</w:t>
      </w:r>
    </w:p>
    <w:p>
      <w:pPr>
        <w:keepLines w:val="0"/>
      </w:pPr>
      <w:r>
        <w:rPr>
          <w:rFonts w:ascii="Noto Sans" w:hAnsi="Noto Sans" w:eastAsia="Noto Sans TC" w:cs="Noto Sans"/>
          <w:b w:val="0"/>
        </w:rPr>
        <w:t>Version : V8</w:t>
      </w:r>
    </w:p>
    <w:p>
      <w:pPr>
        <w:keepLines w:val="0"/>
      </w:pPr>
      <w:r>
        <w:rPr>
          <w:rFonts w:ascii="Noto Sans" w:hAnsi="Noto Sans" w:eastAsia="Noto Sans TC" w:cs="Noto Sans"/>
          <w:b w:val="0"/>
        </w:rPr>
        <w:t>Date de révision : 10 octobre 2026</w:t>
      </w:r>
    </w:p>
    <w:p>
      <w:pPr>
        <w:keepLines w:val="0"/>
      </w:pPr>
      <w:r>
        <w:rPr>
          <w:rFonts w:ascii="Noto Sans" w:hAnsi="Noto Sans" w:eastAsia="Noto Sans TC" w:cs="Noto Sans"/>
          <w:b w:val="0"/>
        </w:rPr>
        <w:t>Date d’entrée en vigueur : 10 octobre 2026</w:t>
      </w:r>
    </w:p>
    <w:p>
      <w:pPr>
        <w:keepLines w:val="0"/>
      </w:pPr>
      <w:r>
        <w:rPr>
          <w:rFonts w:ascii="Noto Sans" w:hAnsi="Noto Sans" w:eastAsia="Noto Sans TC" w:cs="Noto Sans"/>
          <w:b w:val="0"/>
        </w:rPr>
        <w:t>Prestataire : 上海追光智创文化传媒有限公司</w:t>
      </w:r>
    </w:p>
    <w:p>
      <w:pPr>
        <w:keepLines w:val="0"/>
      </w:pPr>
      <w:r>
        <w:rPr>
          <w:rFonts w:ascii="Noto Sans" w:hAnsi="Noto Sans" w:eastAsia="Noto Sans TC" w:cs="Noto Sans"/>
          <w:b w:val="0"/>
        </w:rPr>
        <w:t>Bienvenue dans DAWNBLOOM Download. Les présentes conditions s’appliquent au téléchargement depuis les canaux officiels, à l’installation ou à l’utilisation de ce produit et des services officiels associés. Veuillez les lire au préalable ; si vous ne les acceptez pas, veuillez ne pas télécharger ni utiliser le produit.</w:t>
      </w:r>
    </w:p>
    <w:p>
      <w:pPr>
        <w:pStyle w:val="Heading1"/>
        <w:keepLines w:val="0"/>
      </w:pPr>
      <w:r>
        <w:rPr>
          <w:rFonts w:ascii="Noto Sans" w:hAnsi="Noto Sans" w:eastAsia="Noto Sans TC" w:cs="Noto Sans"/>
          <w:b w:val="0"/>
        </w:rPr>
        <w:t>Prestataire du service</w:t>
      </w:r>
    </w:p>
    <w:p>
      <w:pPr>
        <w:keepLines w:val="0"/>
      </w:pPr>
      <w:r>
        <w:rPr>
          <w:rFonts w:ascii="Noto Sans" w:hAnsi="Noto Sans" w:eastAsia="Noto Sans TC" w:cs="Noto Sans"/>
          <w:b w:val="0"/>
        </w:rPr>
        <w:t>上海追光智创文化传媒有限公司 · bureau 218, bâtiment 3, 336, route Tianjiao, nouvelle zone de Lingang, zone pilote de libre-échange de Chine (Shanghai), Chine</w:t>
      </w:r>
    </w:p>
    <w:p>
      <w:pPr>
        <w:keepLines w:val="0"/>
      </w:pPr>
      <w:hyperlink r:id="rId11">
        <w:r>
          <w:rPr>
            <w:rFonts w:ascii="Noto Sans" w:hAnsi="Noto Sans" w:eastAsia="Noto Sans TC"/>
            <w:b w:val="0"/>
          </w:rPr>
          <w:t xml:space="preserve">support@dawnbloom.net</w:t>
        </w:r>
      </w:hyperlink>
      <w:r>
        <w:rPr>
          <w:rFonts w:ascii="Noto Sans" w:hAnsi="Noto Sans" w:eastAsia="Noto Sans TC" w:cs="Noto Sans"/>
          <w:b w:val="0"/>
        </w:rPr>
        <w:t xml:space="preserve"> · </w:t>
      </w:r>
      <w:hyperlink r:id="rId12">
        <w:r>
          <w:rPr>
            <w:rFonts w:ascii="Noto Sans" w:hAnsi="Noto Sans" w:eastAsia="Noto Sans TC"/>
            <w:b w:val="0"/>
          </w:rPr>
          <w:t xml:space="preserve">https://dawnbloom.net</w:t>
        </w:r>
      </w:hyperlink>
    </w:p>
    <w:p>
      <w:pPr>
        <w:pStyle w:val="Heading1"/>
        <w:keepLines w:val="0"/>
      </w:pPr>
      <w:r>
        <w:rPr>
          <w:rFonts w:ascii="Noto Sans" w:hAnsi="Noto Sans" w:eastAsia="Noto Sans TC" w:cs="Noto Sans"/>
          <w:b w:val="0"/>
        </w:rPr>
        <w:t>Champ du produit et origine des fichiers</w:t>
      </w:r>
    </w:p>
    <w:p>
      <w:pPr>
        <w:keepLines w:val="0"/>
      </w:pPr>
      <w:r>
        <w:rPr>
          <w:rFonts w:ascii="Noto Sans" w:hAnsi="Noto Sans" w:eastAsia="Noto Sans TC" w:cs="Noto Sans"/>
          <w:b w:val="0"/>
        </w:rPr>
        <w:t>DAWNBLOOM Download est un outil de gestion des tâches de téléchargement sur l’appareil ; il ne propose ni recherche de ressources, ni téléchargement délégué dans le cloud, ni hébergement de fichiers. Veuillez vous assurer d’avoir le droit d’obtenir et d’utiliser les contenus téléchargés et respecter les conditions des sites sources. Le logiciel ne confère aucun droit d’auteur sur les contenus et n’est pas destiné à contourner les restrictions de paiement, de connexion, de DRM ou d’autres autorisations. La vitesse, la disponibilité et la reprise des téléchargements dépendent de la source et du réseau ; l’achèvement de toutes les tâches ne peut être garanti.</w:t>
      </w:r>
    </w:p>
    <w:p>
      <w:pPr>
        <w:pStyle w:val="Heading1"/>
        <w:keepLines w:val="0"/>
      </w:pPr>
      <w:r>
        <w:rPr>
          <w:rFonts w:ascii="Noto Sans" w:hAnsi="Noto Sans" w:eastAsia="Noto Sans TC" w:cs="Noto Sans"/>
          <w:b w:val="0"/>
        </w:rPr>
        <w:t>Transfert de pair à pair et sécurité des fichiers</w:t>
      </w:r>
    </w:p>
    <w:p>
      <w:pPr>
        <w:keepLines w:val="0"/>
      </w:pPr>
      <w:r>
        <w:rPr>
          <w:rFonts w:ascii="Noto Sans" w:hAnsi="Noto Sans" w:eastAsia="Noto Sans TC" w:cs="Noto Sans"/>
          <w:b w:val="0"/>
        </w:rPr>
        <w:t>Lorsque vous utilisez Torrent, Magnet ou d’autres fonctionnalités de pair à pair, les autres participants peuvent voir votre adresse IP et des données peuvent également leur être transmises pendant le téléchargement. Le P2P n’est pas un service anonyme ; veuillez ne partager que des contenus que vous avez légalement le droit de diffuser. Le logiciel n’est pas un outil antivirus ; les indications sur la provenance ou les vérifications ne garantissent pas la sécurité des fichiers. Soyez prudent avant d’ouvrir des fichiers inconnus et tenez compte de l’espace de stockage, du trafic de données et des frais de réseau.</w:t>
      </w:r>
    </w:p>
    <w:p>
      <w:pPr>
        <w:pStyle w:val="Heading1"/>
        <w:keepLines w:val="0"/>
      </w:pPr>
      <w:r>
        <w:rPr>
          <w:rFonts w:ascii="Noto Sans" w:hAnsi="Noto Sans" w:eastAsia="Noto Sans TC" w:cs="Noto Sans"/>
          <w:b w:val="0"/>
        </w:rPr>
        <w:t>Traitement local et partage facultatif des tâches</w:t>
      </w:r>
    </w:p>
    <w:p>
      <w:pPr>
        <w:keepLines w:val="0"/>
      </w:pPr>
      <w:r>
        <w:rPr>
          <w:rFonts w:ascii="Noto Sans" w:hAnsi="Noto Sans" w:eastAsia="Noto Sans TC" w:cs="Noto Sans"/>
          <w:b w:val="0"/>
        </w:rPr>
        <w:t>Les fichiers téléchargés sont transmis directement de la source à l’appareil ; DAWNBLOOM n’assure ni leur transit ni leur conservation pour votre compte. Les historiques de tâches sont conservés localement par défaut ; après une connexion volontaire et l’activation du partage des tâches, seules les informations de tâches pouvant être partagées en toute sécurité conformément à la notice de confidentialité sont synchronisées, et les autres appareils obtiennent toujours les fichiers depuis leur source d’origine. Avant toute désinstallation ou suppression de données, veuillez conserver correctement les fichiers téléchargés et les historiques nécessaires.</w:t>
      </w:r>
    </w:p>
    <w:p>
      <w:pPr>
        <w:pStyle w:val="Heading1"/>
        <w:keepLines w:val="0"/>
      </w:pPr>
      <w:r>
        <w:rPr>
          <w:rFonts w:ascii="Noto Sans" w:hAnsi="Noto Sans" w:eastAsia="Noto Sans TC" w:cs="Noto Sans"/>
          <w:b w:val="0"/>
        </w:rPr>
        <w:t>Licence du logiciel</w:t>
      </w:r>
    </w:p>
    <w:p>
      <w:pPr>
        <w:keepLines w:val="0"/>
      </w:pPr>
      <w:r>
        <w:rPr>
          <w:rFonts w:ascii="Noto Sans" w:hAnsi="Noto Sans" w:eastAsia="Noto Sans TC" w:cs="Noto Sans"/>
          <w:b w:val="0"/>
        </w:rPr>
        <w:t>Sous réserve du respect des présentes conditions et du droit applicable, vous pouvez installer et utiliser la version officielle sur des appareils compatibles que vous possédez ou contrôlez légalement. Les droits de propriété intellectuelle sur le logiciel, la marque et les contenus associés restent la propriété de leurs titulaires. Les composants open source tiers sont fournis conformément à leurs licences respectives.</w:t>
      </w:r>
    </w:p>
    <w:p>
      <w:pPr>
        <w:pStyle w:val="Heading1"/>
        <w:keepLines w:val="0"/>
      </w:pPr>
      <w:r>
        <w:rPr>
          <w:rFonts w:ascii="Noto Sans" w:hAnsi="Noto Sans" w:eastAsia="Noto Sans TC" w:cs="Noto Sans"/>
          <w:b w:val="0"/>
        </w:rPr>
        <w:t>Utilisation licite et services tiers</w:t>
      </w:r>
    </w:p>
    <w:p>
      <w:pPr>
        <w:keepLines w:val="0"/>
      </w:pPr>
      <w:r>
        <w:rPr>
          <w:rFonts w:ascii="Noto Sans" w:hAnsi="Noto Sans" w:eastAsia="Noto Sans TC" w:cs="Noto Sans"/>
          <w:b w:val="0"/>
        </w:rPr>
        <w:t>Il est interdit de se faire passer pour une source officielle, de diffuser des logiciels malveillants, de voler des comptes, de porter atteinte aux droits d’autrui ou de compromettre la sécurité du service. Les actes autorisés par le droit applicable et les droits accordés par les licences open source ne sont pas limités par les présentes conditions. Les sites externes, les sources de contenus et les boutiques appliquent leurs propres règles ; nous ne contrôlons ni leurs contenus, ni leur disponibilité, ni leurs tarifs.</w:t>
      </w:r>
    </w:p>
    <w:p>
      <w:pPr>
        <w:pStyle w:val="Heading1"/>
        <w:keepLines w:val="0"/>
      </w:pPr>
      <w:r>
        <w:rPr>
          <w:rFonts w:ascii="Noto Sans" w:hAnsi="Noto Sans" w:eastAsia="Noto Sans TC" w:cs="Noto Sans"/>
          <w:b w:val="0"/>
        </w:rPr>
        <w:t>Confidentialité et confirmations nécessaires</w:t>
      </w:r>
    </w:p>
    <w:p>
      <w:pPr>
        <w:keepLines w:val="0"/>
      </w:pPr>
      <w:r>
        <w:rPr>
          <w:rFonts w:ascii="Noto Sans" w:hAnsi="Noto Sans" w:eastAsia="Noto Sans TC" w:cs="Noto Sans"/>
          <w:b w:val="0"/>
        </w:rPr>
        <w:t>Le traitement des données personnelles est régi par la notice de confidentialité de ce produit et la politique de confidentialité DAWNBLOOM. Les présentes conditions ne remplacent pas les confirmations distinctes requises pour les autorisations système, les opérations sur le compte, la synchronisation facultative ou d’autres opérations pour lesquelles la loi exige une confirmation séparée ; vous pouvez refuser les fonctionnalités facultatives.</w:t>
      </w:r>
    </w:p>
    <w:p>
      <w:pPr>
        <w:pStyle w:val="Heading1"/>
        <w:keepLines w:val="0"/>
      </w:pPr>
      <w:r>
        <w:rPr>
          <w:rFonts w:ascii="Noto Sans" w:hAnsi="Noto Sans" w:eastAsia="Noto Sans TC" w:cs="Noto Sans"/>
          <w:b w:val="0"/>
        </w:rPr>
        <w:t>Disponibilité, mises à jour et frais</w:t>
      </w:r>
    </w:p>
    <w:p>
      <w:pPr>
        <w:keepLines w:val="0"/>
      </w:pPr>
      <w:r>
        <w:rPr>
          <w:rFonts w:ascii="Noto Sans" w:hAnsi="Noto Sans" w:eastAsia="Noto Sans TC" w:cs="Noto Sans"/>
          <w:b w:val="0"/>
        </w:rPr>
        <w:t>Les fonctionnalités et les canaux de distribution sont ceux des versions effectivement publiées et peuvent varier selon les plateformes, les appareils ou les régions. Le numéro de version commun indiqué sur le site officiel ne signifie pas que toutes les boutiques proposent déjà cette même version. Nous pouvons proposer des mises à jour de sécurité et de fonctionnalités ; si des frais sont introduits, leur prix, leur portée et les règles applicables seront clairement indiqués à l’avance, et aucun prélèvement ne sera effectué sur le seul fondement des présentes conditions. Si vous obtenez le logiciel par une boutique, vous devez également respecter ses règles applicables en matière de licence et d’achat.</w:t>
      </w:r>
    </w:p>
    <w:p>
      <w:pPr>
        <w:pStyle w:val="Heading1"/>
        <w:keepLines w:val="0"/>
      </w:pPr>
      <w:r>
        <w:rPr>
          <w:rFonts w:ascii="Noto Sans" w:hAnsi="Noto Sans" w:eastAsia="Noto Sans TC" w:cs="Noto Sans"/>
          <w:b w:val="0"/>
        </w:rPr>
        <w:t>Limites du service et droits des utilisateurs</w:t>
      </w:r>
    </w:p>
    <w:p>
      <w:pPr>
        <w:keepLines w:val="0"/>
      </w:pPr>
      <w:r>
        <w:rPr>
          <w:rFonts w:ascii="Noto Sans" w:hAnsi="Noto Sans" w:eastAsia="Noto Sans TC" w:cs="Noto Sans"/>
          <w:b w:val="0"/>
        </w:rPr>
        <w:t>Nous assurons raisonnablement la maintenance du produit, mais ne promettons pas qu’il sera toujours exempt d’erreurs, ininterrompu ou parfaitement adapté à un usage particulier dans tous les environnements. Veuillez conserver des sauvegardes appropriées des informations et fichiers importants. Toute limitation de responsabilité s’applique uniquement dans les limites autorisées par le droit applicable ; elle n’exclut aucune responsabilité qui ne peut légalement être exclue, n’exonère pas de la responsabilité légalement encourue en cas de faute intentionnelle ou lourde et ne réduit pas les droits impératifs des consommateurs.</w:t>
      </w:r>
    </w:p>
    <w:p>
      <w:pPr>
        <w:pStyle w:val="Heading1"/>
        <w:keepLines w:val="0"/>
      </w:pPr>
      <w:r>
        <w:rPr>
          <w:rFonts w:ascii="Noto Sans" w:hAnsi="Noto Sans" w:eastAsia="Noto Sans TC" w:cs="Noto Sans"/>
          <w:b w:val="0"/>
        </w:rPr>
        <w:t>Cessation d’utilisation et mesures relatives au service</w:t>
      </w:r>
    </w:p>
    <w:p>
      <w:pPr>
        <w:keepLines w:val="0"/>
      </w:pPr>
      <w:r>
        <w:rPr>
          <w:rFonts w:ascii="Noto Sans" w:hAnsi="Noto Sans" w:eastAsia="Noto Sans TC" w:cs="Noto Sans"/>
          <w:b w:val="0"/>
        </w:rPr>
        <w:t>Vous pouvez cesser d’utiliser le logiciel et le désinstaller. La désinstallation, la déconnexion du compte et la suppression du compte DAWNBLOOM sont des opérations distinctes ; pour supprimer votre compte, veuillez suivre la procédure officielle relative aux comptes. En cas de risque de sécurité, d’acte illicite ou de violation grave des conditions, nous pouvons prendre des mesures de restriction nécessaires et proportionnées et, lorsque cela est possible et autorisé par la loi, en expliquer les motifs et proposer un moyen de contact ou de recours.</w:t>
      </w:r>
    </w:p>
    <w:p>
      <w:pPr>
        <w:pStyle w:val="Heading1"/>
        <w:keepLines w:val="0"/>
      </w:pPr>
      <w:r>
        <w:rPr>
          <w:rFonts w:ascii="Noto Sans" w:hAnsi="Noto Sans" w:eastAsia="Noto Sans TC" w:cs="Noto Sans"/>
          <w:b w:val="0"/>
        </w:rPr>
        <w:t>Mise à jour des conditions et résolution des litiges</w:t>
      </w:r>
    </w:p>
    <w:p>
      <w:pPr>
        <w:keepLines w:val="0"/>
      </w:pPr>
      <w:r>
        <w:rPr>
          <w:rFonts w:ascii="Noto Sans" w:hAnsi="Noto Sans" w:eastAsia="Noto Sans TC" w:cs="Noto Sans"/>
          <w:b w:val="0"/>
        </w:rPr>
        <w:t>Les mises à jour des conditions porteront une date. Les modifications importantes seront notifiées par des moyens raisonnables et un nouveau consentement explicite sera recueilli séparément lorsque la loi l’exige. Sans préjudice du droit impératif applicable au lieu de résidence de l’utilisateur et des droits des consommateurs, les présentes conditions sont régies par le droit de la République populaire de Chine. Les litiges doivent d’abord faire l’objet d’une tentative de résolution amiable ; à défaut de résolution, ils peuvent être soumis conformément à la loi à un tribunal compétent, sans exclusion des voies de recours légalement ouvertes aux utilisateurs.</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Conditions d’utilisation de DAWNBLOOM Download</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