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Noto Sans" w:hAnsi="Noto Sans" w:eastAsia="Noto Sans TC" w:cs="Noto Sans"/>
          <w:b/>
          <w:color w:val="142032"/>
          <w:sz w:val="40"/>
        </w:rPr>
        <w:t>Politique relative aux cookies et technologies similaires de DAWNBLOOM</w:t>
      </w:r>
    </w:p>
    <w:p>
      <w:pPr>
        <w:keepLines w:val="0"/>
      </w:pPr>
      <w:r>
        <w:rPr>
          <w:rFonts w:ascii="Noto Sans" w:hAnsi="Noto Sans" w:eastAsia="Noto Sans TC" w:cs="Noto Sans"/>
          <w:b w:val="0"/>
        </w:rPr>
        <w:t>Politique relative aux cookies et technologies similaires · Version officielle</w:t>
      </w:r>
    </w:p>
    <w:p>
      <w:pPr>
        <w:keepLines w:val="0"/>
      </w:pPr>
      <w:r>
        <w:rPr>
          <w:rFonts w:ascii="Noto Sans" w:hAnsi="Noto Sans" w:eastAsia="Noto Sans TC" w:cs="Noto Sans"/>
          <w:b w:val="0"/>
        </w:rPr>
        <w:t>Version : V7</w:t>
      </w:r>
    </w:p>
    <w:p>
      <w:pPr>
        <w:keepLines w:val="0"/>
      </w:pPr>
      <w:r>
        <w:rPr>
          <w:rFonts w:ascii="Noto Sans" w:hAnsi="Noto Sans" w:eastAsia="Noto Sans TC" w:cs="Noto Sans"/>
          <w:b w:val="0"/>
        </w:rPr>
        <w:t>Date d'entrée en vigueur : 9 octobre 2026</w:t>
      </w:r>
    </w:p>
    <w:p>
      <w:pPr>
        <w:keepLines w:val="0"/>
      </w:pPr>
      <w:r>
        <w:rPr>
          <w:rFonts w:ascii="Noto Sans" w:hAnsi="Noto Sans" w:eastAsia="Noto Sans TC" w:cs="Noto Sans"/>
          <w:b w:val="0"/>
        </w:rPr>
        <w:t>Mis à jour : 9 octobre 2026</w:t>
      </w:r>
    </w:p>
    <w:p>
      <w:pPr>
        <w:keepLines w:val="0"/>
      </w:pPr>
      <w:r>
        <w:rPr>
          <w:rFonts w:ascii="Noto Sans" w:hAnsi="Noto Sans" w:eastAsia="Noto Sans TC" w:cs="Noto Sans"/>
          <w:b w:val="0"/>
        </w:rPr>
      </w:r>
    </w:p>
    <w:p>
      <w:pPr>
        <w:keepLines w:val="0"/>
      </w:pPr>
      <w:r>
        <w:rPr>
          <w:rFonts w:ascii="Noto Sans" w:hAnsi="Noto Sans" w:eastAsia="Noto Sans TC" w:cs="Noto Sans"/>
          <w:b w:val="0"/>
        </w:rPr>
        <w:t>Applicabilité : dawnbloom.net, sous-domaines officiels, DAWNBLOOM Community et services web associés</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Noto Sans TC" w:cs="Noto Sans"/>
                <w:sz w:val="17"/>
              </w:rPr>
              <w:t>Principes de conception actuels :</w:t>
              <w:br/>
              <w:t>DAWNBLOOM n'intègre actuellement aucun outil de suivi marketing tiers tel que Google Analytics ou Meta Pixel. Les informations des utilisateurs ne seront ni vendues ni partagées avec des plateformes de publicité comportementale inter-sites ou inter-contextes. Aucun cookie de ciblage publicitaire ne sera défini. Cette politique limite donc les cookies et technologies similaires à ceux qui sont essentiels à la gestion du compte, à l'utilisation du forum, aux fonctions de la boutique, aux préférences linguistiques et à la protection de la sécurité.</w:t>
            </w:r>
          </w:p>
        </w:tc>
      </w:tr>
    </w:tbl>
    <w:p>
      <w:pPr>
        <w:spacing w:after="40"/>
      </w:pPr>
    </w:p>
    <w:p>
      <w:pPr>
        <w:pStyle w:val="Heading1"/>
        <w:keepLines w:val="0"/>
      </w:pPr>
      <w:r>
        <w:rPr>
          <w:rFonts w:ascii="Noto Sans" w:hAnsi="Noto Sans" w:eastAsia="Noto Sans TC" w:cs="Noto Sans"/>
          <w:b w:val="0"/>
        </w:rPr>
        <w:t>Résumé en une page : Comment nous utilisons les cookies</w:t>
      </w:r>
    </w:p>
    <w:p>
      <w:pPr>
        <w:pStyle w:val="ListBullet"/>
        <w:keepLines w:val="0"/>
      </w:pPr>
      <w:r>
        <w:rPr>
          <w:rFonts w:ascii="Noto Sans" w:hAnsi="Noto Sans" w:eastAsia="Noto Sans TC" w:cs="Noto Sans"/>
          <w:b w:val="0"/>
        </w:rPr>
        <w:t>Nous utilisons le stockage navigateur de première partie pour maintenir les sessions de connexion et communautaires, protéger les requêtes, mémoriser votre langue de site web choisie et les paramètres des mini-jeux. Le stockage des états de transaction de la boutique n'est actuellement pas activé.</w:t>
      </w:r>
    </w:p>
    <w:p>
      <w:pPr>
        <w:pStyle w:val="ListBullet"/>
        <w:keepLines w:val="0"/>
      </w:pPr>
      <w:r>
        <w:rPr>
          <w:rFonts w:ascii="Noto Sans" w:hAnsi="Noto Sans" w:eastAsia="Noto Sans TC" w:cs="Noto Sans"/>
          <w:b w:val="0"/>
        </w:rPr>
        <w:t>Nous n'utilisons actuellement aucun cookie de suivi publicitaire, nous ne proposons pas de publicité comportementale inter-sites et nous ne déployons pas Google Analytics ni Meta Pixel.</w:t>
      </w:r>
    </w:p>
    <w:p>
      <w:pPr>
        <w:pStyle w:val="ListBullet"/>
        <w:keepLines w:val="0"/>
      </w:pPr>
      <w:r>
        <w:rPr>
          <w:rFonts w:ascii="Noto Sans" w:hAnsi="Noto Sans" w:eastAsia="Noto Sans TC" w:cs="Noto Sans"/>
          <w:b w:val="0"/>
        </w:rPr>
        <w:t>Cloudflare, en tant que fournisseur de services DNS/CDN/sécurité, peut définir des cookies de sécurité nécessaires lors de l'activation de fonctionnalités telles que les défis de sécurité, Bot Fight et la limitation de débit, en fonction de la configuration réelle.</w:t>
      </w:r>
    </w:p>
    <w:p>
      <w:pPr>
        <w:pStyle w:val="ListBullet"/>
        <w:keepLines w:val="0"/>
      </w:pPr>
      <w:r>
        <w:rPr>
          <w:rFonts w:ascii="Noto Sans" w:hAnsi="Noto Sans" w:eastAsia="Noto Sans TC" w:cs="Noto Sans"/>
          <w:b w:val="0"/>
        </w:rPr>
        <w:t>Vous pouvez effacer ou bloquer les cookies dans votre navigateur. Le blocage des éléments nécessaires à la connexion et à la sécurité peut empêcher la connexion, mettre fin à une session communautaire ou répéter un défi de sécurité.</w:t>
      </w:r>
    </w:p>
    <w:p>
      <w:pPr>
        <w:pStyle w:val="ListBullet"/>
        <w:keepLines w:val="0"/>
      </w:pPr>
      <w:r>
        <w:rPr>
          <w:rFonts w:ascii="Noto Sans" w:hAnsi="Noto Sans" w:eastAsia="Noto Sans TC" w:cs="Noto Sans"/>
          <w:b w:val="0"/>
        </w:rPr>
        <w:t>À l'avenir, si nous introduisons des technologies d'analyse, publicitaires ou autres types de suivi non essentielles, nous mettrons d'abord cette politique à jour et, lorsque la loi applicable l'exige, nous fournirons aux utilisateurs des mécanismes pour consentir, refuser ou retirer leur utilisation.</w:t>
      </w:r>
    </w:p>
    <w:p>
      <w:pPr>
        <w:pStyle w:val="Heading1"/>
        <w:keepLines w:val="0"/>
      </w:pPr>
      <w:r>
        <w:rPr>
          <w:rFonts w:ascii="Noto Sans" w:hAnsi="Noto Sans" w:eastAsia="Noto Sans TC" w:cs="Noto Sans"/>
          <w:b w:val="0"/>
        </w:rPr>
        <w:t>1. Champ d'application et relation avec la présente politique</w:t>
      </w:r>
    </w:p>
    <w:p>
      <w:pPr>
        <w:keepLines w:val="0"/>
      </w:pPr>
      <w:r>
        <w:rPr>
          <w:rFonts w:ascii="Noto Sans" w:hAnsi="Noto Sans" w:eastAsia="Noto Sans TC" w:cs="Noto Sans"/>
          <w:b w:val="0"/>
        </w:rPr>
        <w:t xml:space="preserve">Cette politique s'applique au site principal mondial dawnbloom.net et aux sous-domaines officiels, DAWNBLOOM Community, compte, Support, pages de téléchargement et boutique, ainsi qu'aux technologies pertinentes aux entrées de redirection linguistique régionale dawnbloom.com.cn et dawnbloom.jp avec leurs entrées www. Les entrées officielles en langue coréenne dawnbloom.kr et www.dawnbloom.kr utilisent des redirections HTTPS 301 vers </w:t>
      </w:r>
      <w:hyperlink r:id="rId11">
        <w:r>
          <w:rPr>
            <w:rFonts w:ascii="Noto Sans" w:hAnsi="Noto Sans" w:eastAsia="Noto Sans TC"/>
            <w:b w:val="0"/>
          </w:rPr>
          <w:t xml:space="preserve">https://dawnbloom.net/kr/.</w:t>
        </w:r>
      </w:hyperlink>
      <w:r>
        <w:rPr>
          <w:rFonts w:ascii="Noto Sans" w:hAnsi="Noto Sans" w:eastAsia="Noto Sans TC" w:cs="Noto Sans"/>
          <w:b w:val="0"/>
        </w:rPr>
        <w:t xml:space="preserve"> Les changements DNS peuvent prendre du temps à se propager. Ils utilisent le site Web unifié et ne créent pas de site Web, de compte, de base de données ou de serveur de jeu coréen séparé. Les entrées régionales n'ont pas de pages commerciales séparées. Les deux entrées régionales sont ouvertes et utilisent des redirections HTTPS 301 vers les chemins principaux chinois et japonais respectivement. Les réponses de redirection normales ne définissent pas de cookies commerciaux séparés et ne fournissent pas de pages indépendantes ni de scripts d'analyse. La configuration du rapport d'erreurs réseau Cloudflare peut toujours impliquer des données réseau nécessaires ; les journaux spécifiques et les paramètres de sécurité dépendent de la configuration réelle du service. La redirection ne signifie pas que les données d'accès ne sont pas traitées ; les cookies de sécurité nécessaires dépendent de la configuration réelle et de la visite. Cette politique n'invente aucun nom de cookie spécifique à l'entrée ni aucune période de rétention. Une fois sur le site principal, les sessions et le stockage des langues suivent l'inventaire actuel ci-dessous. Consultez l'avertissement anti-fraude pour les entrées existantes de protection de marque. Les cookies et les données WebView/WebKit des sites tiers visités dans le navigateur ne sont pas des cookies de première partie du site principal ; l'unifié Politique de confidentialité, les Conditions du Navigateur et les politiques de ces sites expliquent leur traitement.</w:t>
      </w:r>
    </w:p>
    <w:p>
      <w:pPr>
        <w:keepLines w:val="0"/>
      </w:pPr>
      <w:r>
        <w:rPr>
          <w:rFonts w:ascii="Noto Sans" w:hAnsi="Noto Sans" w:eastAsia="Noto Sans TC" w:cs="Noto Sans"/>
          <w:b w:val="0"/>
        </w:rPr>
        <w:t>Les sept pages produits du site web, les pages de statut de téléchargement, de support et légales entrent dans le cadre de cette politique de site web. Les données de navigation locale, de préférence de news, de messagerie ou de fichiers dans une application ne deviennent pas un cookie de site web simplement parce qu'il s'agit d'un produit DAWNBLOOM ; consultez la politique de confidentialité de chaque périmètre.</w:t>
      </w:r>
    </w:p>
    <w:p>
      <w:pPr>
        <w:keepLines w:val="0"/>
      </w:pPr>
      <w:r>
        <w:rPr>
          <w:rFonts w:ascii="Noto Sans" w:hAnsi="Noto Sans" w:eastAsia="Noto Sans TC" w:cs="Noto Sans"/>
          <w:b w:val="0"/>
        </w:rPr>
        <w:t>Cette Politique complète la Politique de confidentialité DAWNBLOOM relative aux cookies du site web. Le traitement des données personnelles reste soumis à cette politique et à la loi applicable. En cas de conflit, une règle légale offrant une plus grande protection des droits de l'utilisateur s'applique.</w:t>
      </w:r>
    </w:p>
    <w:p>
      <w:pPr>
        <w:keepLines w:val="0"/>
      </w:pPr>
      <w:r>
        <w:rPr>
          <w:rFonts w:ascii="Noto Sans" w:hAnsi="Noto Sans" w:eastAsia="Noto Sans TC" w:cs="Noto Sans"/>
          <w:b w:val="0"/>
        </w:rPr>
        <w:t>Les sites web et services tiers tels que Steam, Apple, WeChat, Alipay, UnionPay, Visa, Mastercard, WhatsApp, Facebook, Instagram, YouTube peuvent utiliser des Cookies ou technologies similaires sur leurs propres domaines, pages, SDK ou dans les flux de paiement/connexion. Une telle utilisation est régie par les politiques propres de chaque tiers.</w:t>
      </w:r>
    </w:p>
    <w:p>
      <w:pPr>
        <w:pStyle w:val="Heading1"/>
        <w:keepLines w:val="0"/>
      </w:pPr>
      <w:r>
        <w:rPr>
          <w:rFonts w:ascii="Noto Sans" w:hAnsi="Noto Sans" w:eastAsia="Noto Sans TC" w:cs="Noto Sans"/>
          <w:b w:val="0"/>
        </w:rPr>
        <w:t>2. Que sont les cookies et les « technologies similaires » ?</w:t>
      </w:r>
    </w:p>
    <w:p>
      <w:pPr>
        <w:keepLines w:val="0"/>
      </w:pPr>
      <w:r>
        <w:rPr>
          <w:rFonts w:ascii="Noto Sans" w:hAnsi="Noto Sans" w:eastAsia="Noto Sans TC" w:cs="Noto Sans"/>
          <w:b w:val="0"/>
        </w:rPr>
        <w:t>Un cookie est un petit fragment de données stocké sur votre appareil par un site Web via votre navigateur, couramment utilisé pour identifier une session, maintenir la connexion, mémoriser les préférences utilisateur, protéger le site contre les abus ou finaliser les processus d'achat.</w:t>
      </w:r>
    </w:p>
    <w:p>
      <w:pPr>
        <w:keepLines w:val="0"/>
      </w:pPr>
      <w:r>
        <w:rPr>
          <w:rFonts w:ascii="Noto Sans" w:hAnsi="Noto Sans" w:eastAsia="Noto Sans TC" w:cs="Noto Sans"/>
          <w:b w:val="0"/>
        </w:rPr>
        <w:t>Les « technologies similaires » incluent, sans s'y limiter, le stockage local basé sur le navigateur (Local Storage), le stockage de session (Session Storage), les jetons sécurisés, les identifiants de dispositif ou de navigateur, ainsi que tout autre mécanisme de stockage ou d'identification web utilisé pour obtenir des fonctions similaires.</w:t>
      </w:r>
    </w:p>
    <w:p>
      <w:pPr>
        <w:keepLines w:val="0"/>
      </w:pPr>
      <w:r>
        <w:rPr>
          <w:rFonts w:ascii="Noto Sans" w:hAnsi="Noto Sans" w:eastAsia="Noto Sans TC" w:cs="Noto Sans"/>
          <w:b w:val="0"/>
        </w:rPr>
        <w:t>Selon les directives publiques de la Commission japonaise de la protection des informations personnelles, les identifiants de périphériques tels que les cookies peuvent toujours être considérés comme des informations se rapportant à une personne (personally referable information) lorsqu'ils ne constituent pas directement des informations personnelles (personal information). S'ils peuvent être facilement combinés à d'autres informations pour identifier un individu spécifique, l'information combinée peut être considérée comme des informations personnelles (personal information). Nous ne supposons donc pas que les cookies ne sont pas des informations personnelles (personal information).</w:t>
      </w:r>
    </w:p>
    <w:p>
      <w:pPr>
        <w:pStyle w:val="Heading1"/>
        <w:keepLines w:val="0"/>
      </w:pPr>
      <w:r>
        <w:rPr>
          <w:rFonts w:ascii="Noto Sans" w:hAnsi="Noto Sans" w:eastAsia="Noto Sans TC" w:cs="Noto Sans"/>
          <w:b w:val="0"/>
        </w:rPr>
        <w:t>3. Les types de technologies que nous utilisons actuellement</w:t>
      </w:r>
    </w:p>
    <w:tbl>
      <w:tblPr>
        <w:tblStyle w:val="TableGrid"/>
        <w:tblW w:type="auto" w:w="0"/>
        <w:tblLayout w:type="autofit"/>
        <w:tblLook w:firstColumn="1" w:firstRow="1" w:lastColumn="0" w:lastRow="0" w:noHBand="0" w:noVBand="1" w:val="04A0"/>
      </w:tblPr>
      <w:tblGrid>
        <w:gridCol w:w="1949"/>
        <w:gridCol w:w="1949"/>
        <w:gridCol w:w="1949"/>
        <w:gridCol w:w="1949"/>
        <w:gridCol w:w="1949"/>
      </w:tblGrid>
      <w:tr>
        <w:trPr>
          <w:cantSplit/>
          <w:tblHeader/>
        </w:trPr>
        <w:tc>
          <w:tcPr>
            <w:tcW w:type="dxa" w:w="1949"/>
            <w:vAlign w:val="center"/>
            <w:shd w:fill="DCE8F7"/>
          </w:tcPr>
          <w:p>
            <w:pPr>
              <w:keepNext/>
              <w:spacing w:after="40"/>
            </w:pPr>
            <w:r>
              <w:rPr>
                <w:rFonts w:ascii="Noto Sans" w:hAnsi="Noto Sans" w:eastAsia="Noto Sans TC" w:cs="Noto Sans"/>
                <w:b/>
                <w:sz w:val="17"/>
              </w:rPr>
              <w:t>Catégories</w:t>
            </w:r>
          </w:p>
        </w:tc>
        <w:tc>
          <w:tcPr>
            <w:tcW w:type="dxa" w:w="1949"/>
            <w:vAlign w:val="center"/>
            <w:shd w:fill="DCE8F7"/>
          </w:tcPr>
          <w:p>
            <w:pPr>
              <w:keepNext/>
              <w:spacing w:after="40"/>
            </w:pPr>
            <w:r>
              <w:rPr>
                <w:rFonts w:ascii="Noto Sans" w:hAnsi="Noto Sans" w:eastAsia="Noto Sans TC" w:cs="Noto Sans"/>
                <w:b/>
                <w:sz w:val="17"/>
              </w:rPr>
              <w:t>Cas d'utilisation typiques</w:t>
            </w:r>
          </w:p>
        </w:tc>
        <w:tc>
          <w:tcPr>
            <w:tcW w:type="dxa" w:w="1949"/>
            <w:vAlign w:val="center"/>
            <w:shd w:fill="DCE8F7"/>
          </w:tcPr>
          <w:p>
            <w:pPr>
              <w:keepNext/>
              <w:spacing w:after="40"/>
            </w:pPr>
            <w:r>
              <w:rPr>
                <w:rFonts w:ascii="Noto Sans" w:hAnsi="Noto Sans" w:eastAsia="Noto Sans TC" w:cs="Noto Sans"/>
                <w:b/>
                <w:sz w:val="17"/>
              </w:rPr>
              <w:t>Statut actuel</w:t>
            </w:r>
          </w:p>
        </w:tc>
        <w:tc>
          <w:tcPr>
            <w:tcW w:type="dxa" w:w="1949"/>
            <w:vAlign w:val="center"/>
            <w:shd w:fill="DCE8F7"/>
          </w:tcPr>
          <w:p>
            <w:pPr>
              <w:keepNext/>
              <w:spacing w:after="40"/>
            </w:pPr>
            <w:r>
              <w:rPr>
                <w:rFonts w:ascii="Noto Sans" w:hAnsi="Noto Sans" w:eastAsia="Noto Sans TC" w:cs="Noto Sans"/>
                <w:b/>
                <w:sz w:val="17"/>
              </w:rPr>
              <w:t>Peut être désactivé</w:t>
            </w:r>
          </w:p>
        </w:tc>
        <w:tc>
          <w:tcPr>
            <w:tcW w:type="dxa" w:w="1949"/>
            <w:vAlign w:val="center"/>
            <w:shd w:fill="DCE8F7"/>
          </w:tcPr>
          <w:p>
            <w:pPr>
              <w:keepNext/>
              <w:spacing w:after="40"/>
            </w:pPr>
            <w:r>
              <w:rPr>
                <w:rFonts w:ascii="Noto Sans" w:hAnsi="Noto Sans" w:eastAsia="Noto Sans TC" w:cs="Noto Sans"/>
                <w:b/>
                <w:sz w:val="17"/>
              </w:rPr>
              <w:t>Principes de stockage et de conservation</w:t>
            </w:r>
          </w:p>
        </w:tc>
      </w:tr>
      <w:tr>
        <w:trPr>
          <w:cantSplit/>
        </w:trPr>
        <w:tc>
          <w:tcPr>
            <w:tcW w:type="dxa" w:w="1949"/>
            <w:vAlign w:val="center"/>
          </w:tcPr>
          <w:p>
            <w:pPr>
              <w:spacing w:after="40"/>
            </w:pPr>
            <w:r>
              <w:rPr>
                <w:rFonts w:ascii="Noto Sans" w:hAnsi="Noto Sans" w:eastAsia="Noto Sans TC" w:cs="Noto Sans"/>
                <w:sz w:val="17"/>
              </w:rPr>
              <w:t>Strictement nécessaire / Sécurité</w:t>
            </w:r>
          </w:p>
        </w:tc>
        <w:tc>
          <w:tcPr>
            <w:tcW w:type="dxa" w:w="1949"/>
            <w:vAlign w:val="center"/>
          </w:tcPr>
          <w:p>
            <w:pPr>
              <w:spacing w:after="40"/>
            </w:pPr>
            <w:r>
              <w:rPr>
                <w:rFonts w:ascii="Noto Sans" w:hAnsi="Noto Sans" w:eastAsia="Noto Sans TC" w:cs="Noto Sans"/>
                <w:sz w:val="17"/>
              </w:rPr>
              <w:t>Sessions de connexion, vérification d'identité, protection CSRF/contre les attaques par rejeu, défis de sécurité, limitation de débit, gestion des sessions du forum et processus de transaction en magasin</w:t>
            </w:r>
          </w:p>
        </w:tc>
        <w:tc>
          <w:tcPr>
            <w:tcW w:type="dxa" w:w="1949"/>
            <w:vAlign w:val="center"/>
          </w:tcPr>
          <w:p>
            <w:pPr>
              <w:spacing w:after="40"/>
            </w:pPr>
            <w:r>
              <w:rPr>
                <w:rFonts w:ascii="Noto Sans" w:hAnsi="Noto Sans" w:eastAsia="Noto Sans TC" w:cs="Noto Sans"/>
                <w:sz w:val="17"/>
              </w:rPr>
              <w:t>Utilisé dans des contextes réels de connexion/sécurité ; le stockage des transactions n'est pas activé</w:t>
            </w:r>
          </w:p>
        </w:tc>
        <w:tc>
          <w:tcPr>
            <w:tcW w:type="dxa" w:w="1949"/>
            <w:vAlign w:val="center"/>
          </w:tcPr>
          <w:p>
            <w:pPr>
              <w:spacing w:after="40"/>
            </w:pPr>
            <w:r>
              <w:rPr>
                <w:rFonts w:ascii="Noto Sans" w:hAnsi="Noto Sans" w:eastAsia="Noto Sans TC" w:cs="Noto Sans"/>
                <w:sz w:val="17"/>
              </w:rPr>
              <w:t>Généralement non annulable pendant l'utilisation des fonctionnalités principales</w:t>
            </w:r>
          </w:p>
        </w:tc>
        <w:tc>
          <w:tcPr>
            <w:tcW w:type="dxa" w:w="1949"/>
            <w:vAlign w:val="center"/>
          </w:tcPr>
          <w:p>
            <w:pPr>
              <w:spacing w:after="40"/>
            </w:pPr>
            <w:r>
              <w:rPr>
                <w:rFonts w:ascii="Noto Sans" w:hAnsi="Noto Sans" w:eastAsia="Noto Sans TC" w:cs="Noto Sans"/>
                <w:sz w:val="17"/>
              </w:rPr>
              <w:t>La durée raisonnablement la plus courte requise pendant une session ou pour atteindre des objectifs de sécurité/transaction ; les périodes de conservation spécifiques seront définies dans la liste officielle des cookies</w:t>
            </w:r>
          </w:p>
        </w:tc>
      </w:tr>
      <w:tr>
        <w:trPr>
          <w:cantSplit/>
        </w:trPr>
        <w:tc>
          <w:tcPr>
            <w:tcW w:type="dxa" w:w="1949"/>
            <w:vAlign w:val="center"/>
          </w:tcPr>
          <w:p>
            <w:pPr>
              <w:spacing w:after="40"/>
            </w:pPr>
            <w:r>
              <w:rPr>
                <w:rFonts w:ascii="Noto Sans" w:hAnsi="Noto Sans" w:eastAsia="Noto Sans TC" w:cs="Noto Sans"/>
                <w:sz w:val="17"/>
              </w:rPr>
              <w:t>Préférences et fonctionnalité</w:t>
            </w:r>
          </w:p>
        </w:tc>
        <w:tc>
          <w:tcPr>
            <w:tcW w:type="dxa" w:w="1949"/>
            <w:vAlign w:val="center"/>
          </w:tcPr>
          <w:p>
            <w:pPr>
              <w:spacing w:after="40"/>
            </w:pPr>
            <w:r>
              <w:rPr>
                <w:rFonts w:ascii="Noto Sans" w:hAnsi="Noto Sans" w:eastAsia="Noto Sans TC" w:cs="Noto Sans"/>
                <w:sz w:val="17"/>
              </w:rPr>
              <w:t>Mémorisez votre langue de site web choisie, vos préférences d'interface et vos choix mémorisés nécessaires.</w:t>
            </w:r>
          </w:p>
        </w:tc>
        <w:tc>
          <w:tcPr>
            <w:tcW w:type="dxa" w:w="1949"/>
            <w:vAlign w:val="center"/>
          </w:tcPr>
          <w:p>
            <w:pPr>
              <w:spacing w:after="40"/>
            </w:pPr>
            <w:r>
              <w:rPr>
                <w:rFonts w:ascii="Noto Sans" w:hAnsi="Noto Sans" w:eastAsia="Noto Sans TC" w:cs="Noto Sans"/>
                <w:sz w:val="17"/>
              </w:rPr>
              <w:t>Actuellement utilisé pour les préférences linguistiques du site web et les mini-jeux</w:t>
            </w:r>
          </w:p>
        </w:tc>
        <w:tc>
          <w:tcPr>
            <w:tcW w:type="dxa" w:w="1949"/>
            <w:vAlign w:val="center"/>
          </w:tcPr>
          <w:p>
            <w:pPr>
              <w:spacing w:after="40"/>
            </w:pPr>
            <w:r>
              <w:rPr>
                <w:rFonts w:ascii="Noto Sans" w:hAnsi="Noto Sans" w:eastAsia="Noto Sans TC" w:cs="Noto Sans"/>
                <w:sz w:val="17"/>
              </w:rPr>
              <w:t>Peut être effacé via les paramètres du navigateur ou les futures options de configuration des cookies</w:t>
            </w:r>
          </w:p>
        </w:tc>
        <w:tc>
          <w:tcPr>
            <w:tcW w:type="dxa" w:w="1949"/>
            <w:vAlign w:val="center"/>
          </w:tcPr>
          <w:p>
            <w:pPr>
              <w:spacing w:after="40"/>
            </w:pPr>
            <w:r>
              <w:rPr>
                <w:rFonts w:ascii="Noto Sans" w:hAnsi="Noto Sans" w:eastAsia="Noto Sans TC" w:cs="Noto Sans"/>
                <w:sz w:val="17"/>
              </w:rPr>
              <w:t>zg-locale et la mise en sourdine des mini-jeux persistent jusqu'à ce qu'ils soient effacés ; la position de la musique ne dure que pour la session de l'onglet actuel</w:t>
            </w:r>
          </w:p>
        </w:tc>
      </w:tr>
      <w:tr>
        <w:trPr>
          <w:cantSplit/>
        </w:trPr>
        <w:tc>
          <w:tcPr>
            <w:tcW w:type="dxa" w:w="1949"/>
            <w:vAlign w:val="center"/>
          </w:tcPr>
          <w:p>
            <w:pPr>
              <w:spacing w:after="40"/>
            </w:pPr>
            <w:r>
              <w:rPr>
                <w:rFonts w:ascii="Noto Sans" w:hAnsi="Noto Sans" w:eastAsia="Noto Sans TC" w:cs="Noto Sans"/>
                <w:sz w:val="17"/>
              </w:rPr>
              <w:t>Performance / Analyse</w:t>
            </w:r>
          </w:p>
        </w:tc>
        <w:tc>
          <w:tcPr>
            <w:tcW w:type="dxa" w:w="1949"/>
            <w:vAlign w:val="center"/>
          </w:tcPr>
          <w:p>
            <w:pPr>
              <w:spacing w:after="40"/>
            </w:pPr>
            <w:r>
              <w:rPr>
                <w:rFonts w:ascii="Noto Sans" w:hAnsi="Noto Sans" w:eastAsia="Noto Sans TC" w:cs="Noto Sans"/>
                <w:sz w:val="17"/>
              </w:rPr>
              <w:t>Volume de visites, temps passé sur la page, sources de trafic, conversion marketing et autres analyses</w:t>
            </w:r>
          </w:p>
        </w:tc>
        <w:tc>
          <w:tcPr>
            <w:tcW w:type="dxa" w:w="1949"/>
            <w:vAlign w:val="center"/>
          </w:tcPr>
          <w:p>
            <w:pPr>
              <w:spacing w:after="40"/>
            </w:pPr>
            <w:r>
              <w:rPr>
                <w:rFonts w:ascii="Noto Sans" w:hAnsi="Noto Sans" w:eastAsia="Noto Sans TC" w:cs="Noto Sans"/>
                <w:sz w:val="17"/>
              </w:rPr>
              <w:t>Actuellement, aucun cookie d'analyse tiers n'est utilisé</w:t>
            </w:r>
          </w:p>
        </w:tc>
        <w:tc>
          <w:tcPr>
            <w:tcW w:type="dxa" w:w="1949"/>
            <w:vAlign w:val="center"/>
          </w:tcPr>
          <w:p>
            <w:pPr>
              <w:spacing w:after="40"/>
            </w:pPr>
            <w:r>
              <w:rPr>
                <w:rFonts w:ascii="Noto Sans" w:hAnsi="Noto Sans" w:eastAsia="Noto Sans TC" w:cs="Noto Sans"/>
                <w:sz w:val="17"/>
              </w:rPr>
              <w:t>Non applicable</w:t>
            </w:r>
          </w:p>
        </w:tc>
        <w:tc>
          <w:tcPr>
            <w:tcW w:type="dxa" w:w="1949"/>
            <w:vAlign w:val="center"/>
          </w:tcPr>
          <w:p>
            <w:pPr>
              <w:spacing w:after="40"/>
            </w:pPr>
            <w:r>
              <w:rPr>
                <w:rFonts w:ascii="Noto Sans" w:hAnsi="Noto Sans" w:eastAsia="Noto Sans TC" w:cs="Noto Sans"/>
                <w:sz w:val="17"/>
              </w:rPr>
              <w:t>S'il est activé à l'avenir, la mise en œuvre débutera par une mise à jour de cette politique et le respect des lois applicables concernant les contrôles des utilisateurs</w:t>
            </w:r>
          </w:p>
        </w:tc>
      </w:tr>
      <w:tr>
        <w:trPr>
          <w:cantSplit/>
        </w:trPr>
        <w:tc>
          <w:tcPr>
            <w:tcW w:type="dxa" w:w="1949"/>
            <w:vAlign w:val="center"/>
          </w:tcPr>
          <w:p>
            <w:pPr>
              <w:spacing w:after="40"/>
            </w:pPr>
            <w:r>
              <w:rPr>
                <w:rFonts w:ascii="Noto Sans" w:hAnsi="Noto Sans" w:eastAsia="Noto Sans TC" w:cs="Noto Sans"/>
                <w:sz w:val="17"/>
              </w:rPr>
              <w:t>Publicité / ciblage</w:t>
            </w:r>
          </w:p>
        </w:tc>
        <w:tc>
          <w:tcPr>
            <w:tcW w:type="dxa" w:w="1949"/>
            <w:vAlign w:val="center"/>
          </w:tcPr>
          <w:p>
            <w:pPr>
              <w:spacing w:after="40"/>
            </w:pPr>
            <w:r>
              <w:rPr>
                <w:rFonts w:ascii="Noto Sans" w:hAnsi="Noto Sans" w:eastAsia="Noto Sans TC" w:cs="Noto Sans"/>
                <w:sz w:val="17"/>
              </w:rPr>
              <w:t>Profilage inter-sites, publicité de redirection, publicité basée sur les intérêts</w:t>
            </w:r>
          </w:p>
        </w:tc>
        <w:tc>
          <w:tcPr>
            <w:tcW w:type="dxa" w:w="1949"/>
            <w:vAlign w:val="center"/>
          </w:tcPr>
          <w:p>
            <w:pPr>
              <w:spacing w:after="40"/>
            </w:pPr>
            <w:r>
              <w:rPr>
                <w:rFonts w:ascii="Noto Sans" w:hAnsi="Noto Sans" w:eastAsia="Noto Sans TC" w:cs="Noto Sans"/>
                <w:sz w:val="17"/>
              </w:rPr>
              <w:t>Actuellement non utilisé</w:t>
            </w:r>
          </w:p>
        </w:tc>
        <w:tc>
          <w:tcPr>
            <w:tcW w:type="dxa" w:w="1949"/>
            <w:vAlign w:val="center"/>
          </w:tcPr>
          <w:p>
            <w:pPr>
              <w:spacing w:after="40"/>
            </w:pPr>
            <w:r>
              <w:rPr>
                <w:rFonts w:ascii="Noto Sans" w:hAnsi="Noto Sans" w:eastAsia="Noto Sans TC" w:cs="Noto Sans"/>
                <w:sz w:val="17"/>
              </w:rPr>
              <w:t>Non applicable</w:t>
            </w:r>
          </w:p>
        </w:tc>
        <w:tc>
          <w:tcPr>
            <w:tcW w:type="dxa" w:w="1949"/>
            <w:vAlign w:val="center"/>
          </w:tcPr>
          <w:p>
            <w:pPr>
              <w:spacing w:after="40"/>
            </w:pPr>
            <w:r>
              <w:rPr>
                <w:rFonts w:ascii="Noto Sans" w:hAnsi="Noto Sans" w:eastAsia="Noto Sans TC" w:cs="Noto Sans"/>
                <w:sz w:val="17"/>
              </w:rPr>
              <w:t>Aucun tel cookie n'est actuellement utilisé</w:t>
            </w:r>
          </w:p>
        </w:tc>
      </w:tr>
      <w:tr>
        <w:trPr>
          <w:cantSplit/>
        </w:trPr>
        <w:tc>
          <w:tcPr>
            <w:tcW w:type="dxa" w:w="1949"/>
            <w:vAlign w:val="center"/>
          </w:tcPr>
          <w:p>
            <w:pPr>
              <w:spacing w:after="40"/>
            </w:pPr>
            <w:r>
              <w:rPr>
                <w:rFonts w:ascii="Noto Sans" w:hAnsi="Noto Sans" w:eastAsia="Noto Sans TC" w:cs="Noto Sans"/>
                <w:sz w:val="17"/>
              </w:rPr>
              <w:t>Réseaux sociaux / contenu intégré</w:t>
            </w:r>
          </w:p>
        </w:tc>
        <w:tc>
          <w:tcPr>
            <w:tcW w:type="dxa" w:w="1949"/>
            <w:vAlign w:val="center"/>
          </w:tcPr>
          <w:p>
            <w:pPr>
              <w:spacing w:after="40"/>
            </w:pPr>
            <w:r>
              <w:rPr>
                <w:rFonts w:ascii="Noto Sans" w:hAnsi="Noto Sans" w:eastAsia="Noto Sans TC" w:cs="Noto Sans"/>
                <w:sz w:val="17"/>
              </w:rPr>
              <w:t>Les vidéos intégrées, les boutons de partage social et les composants tiers peuvent déclencher des cookies tiers</w:t>
            </w:r>
          </w:p>
        </w:tc>
        <w:tc>
          <w:tcPr>
            <w:tcW w:type="dxa" w:w="1949"/>
            <w:vAlign w:val="center"/>
          </w:tcPr>
          <w:p>
            <w:pPr>
              <w:spacing w:after="40"/>
            </w:pPr>
            <w:r>
              <w:rPr>
                <w:rFonts w:ascii="Noto Sans" w:hAnsi="Noto Sans" w:eastAsia="Noto Sans TC" w:cs="Noto Sans"/>
                <w:sz w:val="17"/>
              </w:rPr>
              <w:t>La préférence par défaut concerne les liens externes standards ; si l'intégration est introduite à l'avenir, une évaluation séparée sera menée</w:t>
            </w:r>
          </w:p>
        </w:tc>
        <w:tc>
          <w:tcPr>
            <w:tcW w:type="dxa" w:w="1949"/>
            <w:vAlign w:val="center"/>
          </w:tcPr>
          <w:p>
            <w:pPr>
              <w:spacing w:after="40"/>
            </w:pPr>
            <w:r>
              <w:rPr>
                <w:rFonts w:ascii="Noto Sans" w:hAnsi="Noto Sans" w:eastAsia="Noto Sans TC" w:cs="Noto Sans"/>
                <w:sz w:val="17"/>
              </w:rPr>
              <w:t>Dépend des services tiers et des exigences légales</w:t>
            </w:r>
          </w:p>
        </w:tc>
        <w:tc>
          <w:tcPr>
            <w:tcW w:type="dxa" w:w="1949"/>
            <w:vAlign w:val="center"/>
          </w:tcPr>
          <w:p>
            <w:pPr>
              <w:spacing w:after="40"/>
            </w:pPr>
            <w:r>
              <w:rPr>
                <w:rFonts w:ascii="Noto Sans" w:hAnsi="Noto Sans" w:eastAsia="Noto Sans TC" w:cs="Noto Sans"/>
                <w:sz w:val="17"/>
              </w:rPr>
              <w:t>Les décisions sont prises par les tiers concernés et des avis ou consentements appropriés seront fournis lorsque la loi l'exige</w:t>
            </w:r>
          </w:p>
        </w:tc>
      </w:tr>
    </w:tbl>
    <w:p>
      <w:pPr>
        <w:spacing w:after="40"/>
      </w:pPr>
    </w:p>
    <w:p>
      <w:pPr>
        <w:pStyle w:val="Heading1"/>
        <w:keepLines w:val="0"/>
      </w:pPr>
      <w:r>
        <w:rPr>
          <w:rFonts w:ascii="Noto Sans" w:hAnsi="Noto Sans" w:eastAsia="Noto Sans TC" w:cs="Noto Sans"/>
          <w:b w:val="0"/>
        </w:rPr>
        <w:t>4. Cookies strictement nécessaires et de sécurité</w:t>
      </w:r>
    </w:p>
    <w:p>
      <w:pPr>
        <w:keepLines w:val="0"/>
      </w:pPr>
      <w:r>
        <w:rPr>
          <w:rFonts w:ascii="Noto Sans" w:hAnsi="Noto Sans" w:eastAsia="Noto Sans TC" w:cs="Noto Sans"/>
          <w:b w:val="0"/>
        </w:rPr>
        <w:t>Ces cookies/technologies similaires sont utilisés pour fournir des fonctionnalités essentielles que vous demandez activement ou pour protéger la sécurité du site web, du compte et des transactions. S'ils sont complètement bloqués, les fonctions essentielles du site web peuvent ne pas fonctionner correctement. Utilisations courantes :</w:t>
      </w:r>
    </w:p>
    <w:p>
      <w:pPr>
        <w:pStyle w:val="ListBullet"/>
        <w:keepLines w:val="0"/>
      </w:pPr>
      <w:r>
        <w:rPr>
          <w:rFonts w:ascii="Noto Sans" w:hAnsi="Noto Sans" w:eastAsia="Noto Sans TC" w:cs="Noto Sans"/>
          <w:b w:val="0"/>
        </w:rPr>
        <w:t>Identifier les sessions connectées, permettant au compte de jeu DAWNBLOOM de se connecter au site officiel et à la DAWNBLOOM Community ;</w:t>
      </w:r>
    </w:p>
    <w:p>
      <w:pPr>
        <w:pStyle w:val="ListBullet"/>
        <w:keepLines w:val="0"/>
      </w:pPr>
      <w:r>
        <w:rPr>
          <w:rFonts w:ascii="Noto Sans" w:hAnsi="Noto Sans" w:eastAsia="Noto Sans TC" w:cs="Noto Sans"/>
          <w:b w:val="0"/>
        </w:rPr>
        <w:t>Prévenir la falsification de requêtes inter-sites, les soumissions en double, les abus automatisés, les tentatives de connexion par force brute et autres menaces de sécurité ;</w:t>
      </w:r>
    </w:p>
    <w:p>
      <w:pPr>
        <w:pStyle w:val="ListBullet"/>
        <w:keepLines w:val="0"/>
      </w:pPr>
      <w:r>
        <w:rPr>
          <w:rFonts w:ascii="Noto Sans" w:hAnsi="Noto Sans" w:eastAsia="Noto Sans TC" w:cs="Noto Sans"/>
          <w:b w:val="0"/>
        </w:rPr>
        <w:t>Avant que les transactions du magasin ne soient disponibles, tout nouveau stockage de l'état de commande sera ajouté à cette politique et à la liste réelle ; il n'est pas présenté comme étant actuellement utilisé.</w:t>
      </w:r>
    </w:p>
    <w:p>
      <w:pPr>
        <w:pStyle w:val="ListBullet"/>
        <w:keepLines w:val="0"/>
      </w:pPr>
      <w:r>
        <w:rPr>
          <w:rFonts w:ascii="Noto Sans" w:hAnsi="Noto Sans" w:eastAsia="Noto Sans TC" w:cs="Noto Sans"/>
          <w:b w:val="0"/>
        </w:rPr>
        <w:t>Maintenir les états de session requis dans les forums, les centres de comptes et les formulaires du service client ;</w:t>
      </w:r>
    </w:p>
    <w:p>
      <w:pPr>
        <w:pStyle w:val="ListBullet"/>
        <w:keepLines w:val="0"/>
      </w:pPr>
      <w:r>
        <w:rPr>
          <w:rFonts w:ascii="Noto Sans" w:hAnsi="Noto Sans" w:eastAsia="Noto Sans TC" w:cs="Noto Sans"/>
          <w:b w:val="0"/>
        </w:rPr>
        <w:t>Enregistrer l'achèvement des défis de sécurité essentiels ou des étapes de vérification humaine afin de réduire les invites de vérification répétées.</w:t>
      </w:r>
    </w:p>
    <w:p>
      <w:pPr>
        <w:keepLines w:val="0"/>
      </w:pPr>
      <w:r>
        <w:rPr>
          <w:rFonts w:ascii="Noto Sans" w:hAnsi="Noto Sans" w:eastAsia="Noto Sans TC" w:cs="Noto Sans"/>
          <w:b w:val="0"/>
        </w:rPr>
        <w:t>DAWNBLOOM utilise Cloudflare pour le DNS/CDN et la sécurité du site web. La définition réelle d'un cookie de sécurité Cloudflare dépend de la visite et de la protection activée ; consultez l'historique du navigateur pour cette visite.</w:t>
      </w:r>
    </w:p>
    <w:p>
      <w:pPr>
        <w:pStyle w:val="Heading1"/>
        <w:keepLines w:val="0"/>
      </w:pPr>
      <w:r>
        <w:rPr>
          <w:rFonts w:ascii="Noto Sans" w:hAnsi="Noto Sans" w:eastAsia="Noto Sans TC" w:cs="Noto Sans"/>
          <w:b w:val="0"/>
        </w:rPr>
        <w:t>5. Technologies de langue et de préférences</w:t>
      </w:r>
    </w:p>
    <w:p>
      <w:pPr>
        <w:keepLines w:val="0"/>
      </w:pPr>
      <w:r>
        <w:rPr>
          <w:rFonts w:ascii="Noto Sans" w:hAnsi="Noto Sans" w:eastAsia="Noto Sans TC" w:cs="Noto Sans"/>
          <w:b w:val="0"/>
        </w:rPr>
        <w:t>Le site web DAWNBLOOM propose 20 langues d'interface. Lorsque vous choisissez une langue, le site web utilise l'entrée de stockage local de première partie « zg-locale » pour mémoriser votre choix lors de votre prochaine visite. Cette entrée n'est pas utilisée pour la création de profils publicitaires.</w:t>
      </w:r>
    </w:p>
    <w:p>
      <w:pPr>
        <w:keepLines w:val="0"/>
      </w:pPr>
      <w:r>
        <w:rPr>
          <w:rFonts w:ascii="Noto Sans" w:hAnsi="Noto Sans" w:eastAsia="Noto Sans TC" w:cs="Noto Sans"/>
          <w:b w:val="0"/>
        </w:rPr>
        <w:t>La préférence de mise en sourdine du mini-jeu est sauvegardée dans le Local Storage, tandis que la position de la musique est sauvegardée dans le Session Storage de l'onglet actuel. La suppression de ces éléments peut réinitialiser la préférence ou la position.</w:t>
      </w:r>
    </w:p>
    <w:p>
      <w:pPr>
        <w:pStyle w:val="Heading1"/>
        <w:keepLines w:val="0"/>
      </w:pPr>
      <w:r>
        <w:rPr>
          <w:rFonts w:ascii="Noto Sans" w:hAnsi="Noto Sans" w:eastAsia="Noto Sans TC" w:cs="Noto Sans"/>
          <w:b w:val="0"/>
        </w:rPr>
        <w:t>6. Ce que nous ne faisons pas actuellement</w:t>
      </w:r>
    </w:p>
    <w:p>
      <w:pPr>
        <w:pStyle w:val="ListBullet"/>
        <w:keepLines w:val="0"/>
      </w:pPr>
      <w:r>
        <w:rPr>
          <w:rFonts w:ascii="Noto Sans" w:hAnsi="Noto Sans" w:eastAsia="Noto Sans TC" w:cs="Noto Sans"/>
          <w:b w:val="0"/>
        </w:rPr>
        <w:t>Nous ne diffusons pas de publicité comportementale tierce sur le site web officiel ou dans le jeu ;</w:t>
      </w:r>
    </w:p>
    <w:p>
      <w:pPr>
        <w:pStyle w:val="ListBullet"/>
        <w:keepLines w:val="0"/>
      </w:pPr>
      <w:r>
        <w:rPr>
          <w:rFonts w:ascii="Noto Sans" w:hAnsi="Noto Sans" w:eastAsia="Noto Sans TC" w:cs="Noto Sans"/>
          <w:b w:val="0"/>
        </w:rPr>
        <w:t>Nous n'utilisons pas d'outils d'analyse marketing tiers tels que Meta Pixel ou Google Analytics ;</w:t>
      </w:r>
    </w:p>
    <w:p>
      <w:pPr>
        <w:pStyle w:val="ListBullet"/>
        <w:keepLines w:val="0"/>
      </w:pPr>
      <w:r>
        <w:rPr>
          <w:rFonts w:ascii="Noto Sans" w:hAnsi="Noto Sans" w:eastAsia="Noto Sans TC" w:cs="Noto Sans"/>
          <w:b w:val="0"/>
        </w:rPr>
        <w:t>Nous n'utilisons pas de cookies pour créer des profils publicitaires inter-sites ;</w:t>
      </w:r>
    </w:p>
    <w:p>
      <w:pPr>
        <w:pStyle w:val="ListBullet"/>
        <w:keepLines w:val="0"/>
      </w:pPr>
      <w:r>
        <w:rPr>
          <w:rFonts w:ascii="Noto Sans" w:hAnsi="Noto Sans" w:eastAsia="Noto Sans TC" w:cs="Noto Sans"/>
          <w:b w:val="0"/>
        </w:rPr>
        <w:t>Nous ne vendons pas d'identifiants de cookies ni d'informations personnellement identifiables qui en découlent ;</w:t>
      </w:r>
    </w:p>
    <w:p>
      <w:pPr>
        <w:pStyle w:val="ListBullet"/>
        <w:keepLines w:val="0"/>
      </w:pPr>
      <w:r>
        <w:rPr>
          <w:rFonts w:ascii="Noto Sans" w:hAnsi="Noto Sans" w:eastAsia="Noto Sans TC" w:cs="Noto Sans"/>
          <w:b w:val="0"/>
        </w:rPr>
        <w:t>Les informations personnelles ne seront pas partagées à des fins de publicité comportementale inter-contextes ;</w:t>
      </w:r>
    </w:p>
    <w:p>
      <w:pPr>
        <w:pStyle w:val="ListBullet"/>
        <w:keepLines w:val="0"/>
      </w:pPr>
      <w:r>
        <w:rPr>
          <w:rFonts w:ascii="Noto Sans" w:hAnsi="Noto Sans" w:eastAsia="Noto Sans TC" w:cs="Noto Sans"/>
          <w:b w:val="0"/>
        </w:rPr>
        <w:t>Aucun service fourni dans le cadre ou en lien avec le Cookie ne sera refusé à un utilisateur ayant refusé des Cookies futurs non essentiels, à condition que ce service soit indépendant du Cookie en question.</w:t>
      </w:r>
    </w:p>
    <w:p>
      <w:pPr>
        <w:keepLines w:val="0"/>
      </w:pPr>
      <w:r>
        <w:rPr>
          <w:rFonts w:ascii="Noto Sans" w:hAnsi="Noto Sans" w:eastAsia="Noto Sans TC" w:cs="Noto Sans"/>
          <w:b w:val="0"/>
        </w:rPr>
        <w:t>Si les exigences futures du produit changent et que nous prévoyons d'ajouter des fonctionnalités telles que l'analyse, la publicité, les tests A/B, les SDK marketing tiers ou d'autres technologies de suivi non essentielles, nous réaliserons une nouvelle évaluation de conformité avant d'activer ces fonctionnalités, mettrons à jour cette Politique et la Politique de confidentialité en conséquence, et fournirons un mécanisme visible d'acceptation, de désabonnement ou de retrait tel que requis par la loi.</w:t>
      </w:r>
    </w:p>
    <w:p>
      <w:pPr>
        <w:pStyle w:val="Heading1"/>
        <w:keepLines w:val="0"/>
      </w:pPr>
      <w:r>
        <w:rPr>
          <w:rFonts w:ascii="Noto Sans" w:hAnsi="Noto Sans" w:eastAsia="Noto Sans TC" w:cs="Noto Sans"/>
          <w:b w:val="0"/>
        </w:rPr>
        <w:t>7. Connexion tierce, paiement et pages externes</w:t>
      </w:r>
    </w:p>
    <w:p>
      <w:pPr>
        <w:keepLines w:val="0"/>
      </w:pPr>
      <w:r>
        <w:rPr>
          <w:rFonts w:ascii="Noto Sans" w:hAnsi="Noto Sans" w:eastAsia="Noto Sans TC" w:cs="Noto Sans"/>
          <w:b w:val="0"/>
        </w:rPr>
        <w:t>Lorsque vous choisissez des options de connexion tierces telles qu'Apple, Steam ou WeChat, ou utilisez des méthodes de paiement telles que WeChat Pay, Alipay, UnionPay, Visa, Mastercard, Apple Pay ou d'autres systèmes de paiement tiers, vous pouvez être redirigé vers des pages tierces ou interagir avec des composants contrôlés par des tiers. Ces tiers peuvent utiliser des cookies, des informations sur l'appareil ou d'autres technologies, conformément à leurs propres règles, pour effectuer l'authentification, la vérification de sécurité et le traitement des paiements.</w:t>
      </w:r>
    </w:p>
    <w:p>
      <w:pPr>
        <w:keepLines w:val="0"/>
      </w:pPr>
      <w:r>
        <w:rPr>
          <w:rFonts w:ascii="Noto Sans" w:hAnsi="Noto Sans" w:eastAsia="Noto Sans TC" w:cs="Noto Sans"/>
          <w:b w:val="0"/>
        </w:rPr>
        <w:t>Après avoir suivi un lien officiel vers l'Apple App Store, Google Play, Steam ou une autre boutique identifiée, cette boutique peut utiliser des cookies selon sa propre politique. Les sites web tiers visités dans le Navigateur et les fournisseurs connectés à Mail contrôlent également leurs propres données de site.</w:t>
      </w:r>
    </w:p>
    <w:p>
      <w:pPr>
        <w:keepLines w:val="0"/>
      </w:pPr>
      <w:r>
        <w:rPr>
          <w:rFonts w:ascii="Noto Sans" w:hAnsi="Noto Sans" w:eastAsia="Noto Sans TC" w:cs="Noto Sans"/>
          <w:b w:val="0"/>
        </w:rPr>
        <w:t>Nous ne prétendrons pas qu'un Cookie d'un tiers constitue un Cookie de première partie de DAWNBLOOM, et nous ne contrôlerons aucune activité de traitement de données entreprise par ces tiers dans le cadre de leurs services indépendants. Veuillez vous référer à la Politique de confidentialité et à l'avis relatif aux Cookies/Technologies de suivi du fournisseur de service concerné pour plus de détails concernant ce type de traitement.</w:t>
      </w:r>
    </w:p>
    <w:p>
      <w:pPr>
        <w:pStyle w:val="Heading1"/>
        <w:keepLines w:val="0"/>
      </w:pPr>
      <w:r>
        <w:rPr>
          <w:rFonts w:ascii="Noto Sans" w:hAnsi="Noto Sans" w:eastAsia="Noto Sans TC" w:cs="Noto Sans"/>
          <w:b w:val="0"/>
        </w:rPr>
        <w:t>8. Vos préférences en matière de cookies</w:t>
      </w:r>
    </w:p>
    <w:p>
      <w:pPr>
        <w:keepLines w:val="0"/>
      </w:pPr>
      <w:r>
        <w:rPr>
          <w:rFonts w:ascii="Noto Sans" w:hAnsi="Noto Sans" w:eastAsia="Noto Sans TC" w:cs="Noto Sans"/>
          <w:b w:val="0"/>
        </w:rPr>
        <w:t>Vous pouvez afficher, supprimer, bloquer ou restreindre les Cookies via les paramètres de votre navigateur. L'entrée spécifique et la terminologie peuvent varier selon le navigateur et doivent être confirmées conformément à la documentation d'aide propre au navigateur.</w:t>
      </w:r>
    </w:p>
    <w:p>
      <w:pPr>
        <w:pStyle w:val="ListBullet"/>
        <w:keepLines w:val="0"/>
      </w:pPr>
      <w:r>
        <w:rPr>
          <w:rFonts w:ascii="Noto Sans" w:hAnsi="Noto Sans" w:eastAsia="Noto Sans TC" w:cs="Noto Sans"/>
          <w:b w:val="0"/>
        </w:rPr>
        <w:t>La suppression des Cookies de connexion peut entraîner une déconnexion immédiate du compte ;</w:t>
      </w:r>
    </w:p>
    <w:p>
      <w:pPr>
        <w:pStyle w:val="ListBullet"/>
        <w:keepLines w:val="0"/>
      </w:pPr>
      <w:r>
        <w:rPr>
          <w:rFonts w:ascii="Noto Sans" w:hAnsi="Noto Sans" w:eastAsia="Noto Sans TC" w:cs="Noto Sans"/>
          <w:b w:val="0"/>
        </w:rPr>
        <w:t>La désactivation des Cookies strictement nécessaires peut entraîner des échecs de connexion, l'incapacité de publier du contenu normalement, des perturbations du flux de transaction ou des défis de sécurité répétés ;</w:t>
      </w:r>
    </w:p>
    <w:p>
      <w:pPr>
        <w:pStyle w:val="ListBullet"/>
        <w:keepLines w:val="0"/>
      </w:pPr>
      <w:r>
        <w:rPr>
          <w:rFonts w:ascii="Noto Sans" w:hAnsi="Noto Sans" w:eastAsia="Noto Sans TC" w:cs="Noto Sans"/>
          <w:b w:val="0"/>
        </w:rPr>
        <w:t>La suppression des préférences linguistiques peut entraîner le retour du site officiel à sa langue par défaut ;</w:t>
      </w:r>
    </w:p>
    <w:p>
      <w:pPr>
        <w:pStyle w:val="ListBullet"/>
        <w:keepLines w:val="0"/>
      </w:pPr>
      <w:r>
        <w:rPr>
          <w:rFonts w:ascii="Noto Sans" w:hAnsi="Noto Sans" w:eastAsia="Noto Sans TC" w:cs="Noto Sans"/>
          <w:b w:val="0"/>
        </w:rPr>
        <w:t>La « navigation privée » ou le « mode incognito » d'un navigateur efface généralement certaines données stockées après la fin de la session, bien que le comportement exact soit déterminé par le navigateur lui-même.</w:t>
      </w:r>
    </w:p>
    <w:p>
      <w:pPr>
        <w:keepLines w:val="0"/>
      </w:pPr>
      <w:r>
        <w:rPr>
          <w:rFonts w:ascii="Noto Sans" w:hAnsi="Noto Sans" w:eastAsia="Noto Sans TC" w:cs="Noto Sans"/>
          <w:b w:val="0"/>
        </w:rPr>
        <w:t>Si nous activons des cookies non essentiels nécessitant un consentement préalable à l'avenir, les utilisateurs pourront faire des choix via l'interface Paramètres des Cookies dans les scénarios applicables, et pourront ultérieurement retirer ces choix. Toutefois, le retrait du consentement n'affectera aucun traitement antérieur effectué sur la base de fondements juridiques valides.</w:t>
      </w:r>
    </w:p>
    <w:p>
      <w:pPr>
        <w:pStyle w:val="Heading1"/>
        <w:keepLines w:val="0"/>
      </w:pPr>
      <w:r>
        <w:rPr>
          <w:rFonts w:ascii="Noto Sans" w:hAnsi="Noto Sans" w:eastAsia="Noto Sans TC" w:cs="Noto Sans"/>
          <w:b w:val="0"/>
        </w:rPr>
        <w:t>9. Explication relative à la région continentale chinoise</w:t>
      </w:r>
    </w:p>
    <w:p>
      <w:pPr>
        <w:keepLines w:val="0"/>
      </w:pPr>
      <w:r>
        <w:rPr>
          <w:rFonts w:ascii="Noto Sans" w:hAnsi="Noto Sans" w:eastAsia="Noto Sans TC" w:cs="Noto Sans"/>
          <w:b w:val="0"/>
        </w:rPr>
        <w:t>Pour les utilisateurs en Chine continentale, nous traiterons les informations générées par des Cookies ou technologies similaires pouvant être liées ou associées à des personnes physiques identifiées ou identifiables, conformément à des réglementations telles que la Loi de la République populaire de Chine sur la protection des informations personnelles et les Règlements sur la gestion de la sécurité des données réseau. Nous adhérons aux principes de légalité, d'équité, de nécessité, d'intégrité, de finalité claire et de minimisation des données, et divulguons publiquement les finalités, méthodes, types et règles de conservation pour ce type de traitement.</w:t>
      </w:r>
    </w:p>
    <w:p>
      <w:pPr>
        <w:keepLines w:val="0"/>
      </w:pPr>
      <w:r>
        <w:rPr>
          <w:rFonts w:ascii="Noto Sans" w:hAnsi="Noto Sans" w:eastAsia="Noto Sans TC" w:cs="Noto Sans"/>
          <w:b w:val="0"/>
        </w:rPr>
        <w:t>À des fins techniques nécessaires au maintien de votre relation avec nos services, telles que la connexion, la sécurité du compte et le traitement des commandes, nous pouvons traiter des Cookies ou des technologies similaires sur la base d'obligations contractuelles ou de devoirs légaux autorisés par les lois applicables ; si un Cookie ou une technologie similaire nécessite votre consentement préalable selon la loi applicable, nous obtiendrons ce consentement après avoir fourni un avis complet et vous fournirons également un mécanisme pour retirer ce consentement.</w:t>
      </w:r>
    </w:p>
    <w:p>
      <w:pPr>
        <w:keepLines w:val="0"/>
      </w:pPr>
      <w:r>
        <w:rPr>
          <w:rFonts w:ascii="Noto Sans" w:hAnsi="Noto Sans" w:eastAsia="Noto Sans TC" w:cs="Noto Sans"/>
          <w:b w:val="0"/>
        </w:rPr>
        <w:t>Si nous fournissons ultérieurement des identifiants de cookies ou des données comportementales à un tiers à des fins telles que l'identification indépendante, le profilage ou d'autres utilisations, nous réévaluerons les exigences relatives au préavis préalable, au consentement séparé, au sous-traitement et aux transferts transfrontaliers avant leur mise en œuvre, et ne nous appuierons pas uniquement sur l'autorisation générale contenue dans ces Conditions.</w:t>
      </w:r>
    </w:p>
    <w:p>
      <w:pPr>
        <w:pStyle w:val="Heading1"/>
        <w:keepLines w:val="0"/>
      </w:pPr>
      <w:r>
        <w:rPr>
          <w:rFonts w:ascii="Noto Sans" w:hAnsi="Noto Sans" w:eastAsia="Noto Sans TC" w:cs="Noto Sans"/>
          <w:b w:val="0"/>
        </w:rPr>
        <w:t>10. Explication relative à la région des États-Unis</w:t>
      </w:r>
    </w:p>
    <w:p>
      <w:pPr>
        <w:keepLines w:val="0"/>
      </w:pPr>
      <w:r>
        <w:rPr>
          <w:rFonts w:ascii="Noto Sans" w:hAnsi="Noto Sans" w:eastAsia="Noto Sans TC" w:cs="Noto Sans"/>
          <w:b w:val="0"/>
        </w:rPr>
        <w:t>Le cadre de confidentialité des États-Unis est constitué conjointement par les lois fédérales et étatiques. Si DAWNBLOOM atteint les seuils d'applicabilité de la CCPA/CPRA de Californie ou d'autres lois sur la confidentialité des États à l'avenir, nous fournirons, conformément à la loi, les droits d'accès, de correction, de suppression et d'opposition requis.</w:t>
      </w:r>
    </w:p>
    <w:p>
      <w:pPr>
        <w:keepLines w:val="0"/>
      </w:pPr>
      <w:r>
        <w:rPr>
          <w:rFonts w:ascii="Noto Sans" w:hAnsi="Noto Sans" w:eastAsia="Noto Sans TC" w:cs="Noto Sans"/>
          <w:b w:val="0"/>
        </w:rPr>
        <w:t>Conformément à la conception actuelle du produit, DAWNBLOOM ne vend pas de données personnelles et ne partage pas de données personnelles à des fins de publicité inter-contextes. Il n'y a donc aucune activité actuelle de « vente ou partage » basée sur les cookies publicitaires. Si les pratiques futures évoluent, nous mettrons à jour cette politique et, le cas échéant, proposerons une entrée « Vos choix en matière de confidentialité / Ne pas vendre ni partager » et reconnaîtrons les signaux d'opposition juridiquement valides (par exemple, le Contrôle mondial de la confidentialité, lorsque cela s'applique).</w:t>
      </w:r>
    </w:p>
    <w:p>
      <w:pPr>
        <w:pStyle w:val="Heading1"/>
        <w:keepLines w:val="0"/>
      </w:pPr>
      <w:r>
        <w:rPr>
          <w:rFonts w:ascii="Noto Sans" w:hAnsi="Noto Sans" w:eastAsia="Noto Sans TC" w:cs="Noto Sans"/>
          <w:b w:val="0"/>
        </w:rPr>
        <w:t>11. Dispositions spécifiques au Japon</w:t>
      </w:r>
    </w:p>
    <w:p>
      <w:pPr>
        <w:keepLines w:val="0"/>
      </w:pPr>
      <w:r>
        <w:rPr>
          <w:rFonts w:ascii="Noto Sans" w:hAnsi="Noto Sans" w:eastAsia="Noto Sans TC" w:cs="Noto Sans"/>
          <w:b w:val="0"/>
        </w:rPr>
        <w:t>Conformément à la loi japonaise sur la protection des informations personnelles (personal information) (APPI), les identifiants de périphériques tels que les cookies peuvent être considérés comme des informations se rapportant à une personne (personally referable information) dans certaines circonstances. Lorsqu'ils peuvent être facilement combinés à d'autres informations pour identifier un individu spécifique, ils peuvent également être traités comme des informations personnelles (personal information).</w:t>
      </w:r>
    </w:p>
    <w:p>
      <w:pPr>
        <w:keepLines w:val="0"/>
      </w:pPr>
      <w:r>
        <w:rPr>
          <w:rFonts w:ascii="Noto Sans" w:hAnsi="Noto Sans" w:eastAsia="Noto Sans TC" w:cs="Noto Sans"/>
          <w:b w:val="0"/>
        </w:rPr>
        <w:t>Actuellement, nous ne fournissons pas d'identifiants de cookies aux partenaires publicitaires afin de les combiner avec les données personnelles qu'ils détiennent pour créer des profils publicitaires. Si nous fournissons à l'avenir des informations se rapportant à une personne (personally referable information) à un tiers et si nous prévoyons que le destinataire les acquerra en tant que données personnelles, nous confirmerons le consentement nécessaire de l'intéressé ainsi que les conditions associées, conformément aux règles de la Commission japonaise de la protection des données personnelles. Si un tiers étranger est impliqué, nous évaluerons également les exigences transfrontalières correspondantes.</w:t>
      </w:r>
    </w:p>
    <w:p>
      <w:pPr>
        <w:pStyle w:val="Heading1"/>
        <w:keepLines w:val="0"/>
      </w:pPr>
      <w:r>
        <w:rPr>
          <w:rFonts w:ascii="Noto Sans" w:hAnsi="Noto Sans" w:eastAsia="Noto Sans TC" w:cs="Noto Sans"/>
          <w:b w:val="0"/>
        </w:rPr>
        <w:t>12. Utilisateurs de moins de 18 ans</w:t>
      </w:r>
    </w:p>
    <w:p>
      <w:pPr>
        <w:keepLines w:val="0"/>
      </w:pPr>
      <w:r>
        <w:rPr>
          <w:rFonts w:ascii="Noto Sans" w:hAnsi="Noto Sans" w:eastAsia="Noto Sans TC" w:cs="Noto Sans"/>
          <w:b w:val="0"/>
        </w:rPr>
        <w:t>Les comptes de jeu DAWNBLOOM, la communauté de jeu et les services de jeu associés exigent actuellement que les utilisateurs soient âgés d'au moins 18 ans. Les pages publiques et DAWNBLOOM Browser ne partagent pas cette restriction universelle d'âge pour les jeux. Nous n'utilisons pas les cookies Web ou des technologies similaires pour établir des profils marketing de mineurs ; tout autre traitement concernant les mineurs est évalué au titre de la Politique de confidentialité et de la loi applicable.</w:t>
      </w:r>
    </w:p>
    <w:p>
      <w:pPr>
        <w:pStyle w:val="Heading1"/>
        <w:keepLines w:val="0"/>
      </w:pPr>
      <w:r>
        <w:rPr>
          <w:rFonts w:ascii="Noto Sans" w:hAnsi="Noto Sans" w:eastAsia="Noto Sans TC" w:cs="Noto Sans"/>
          <w:b w:val="0"/>
        </w:rPr>
        <w:t>13. Liste des cookies et mécanisme de mise à jour</w:t>
      </w:r>
    </w:p>
    <w:p>
      <w:pPr>
        <w:keepLines w:val="0"/>
      </w:pPr>
      <w:r>
        <w:rPr>
          <w:rFonts w:ascii="Noto Sans" w:hAnsi="Noto Sans" w:eastAsia="Noto Sans TC" w:cs="Noto Sans"/>
          <w:b w:val="0"/>
        </w:rPr>
        <w:t>La liste ci-dessous couvre le stockage navigateur de première partie identifié dans le site web actuel et le code du service de compte. Les éléments réels varient selon la page et la session. Les services de sécurité/CDN peuvent définir des cookies supplémentaires nécessaires selon la visite ; consultez l'historique du navigateur pour cette visite. Le stockage pour les transactions de boutique indisponibles n'est pas listé car il n'est pas actuellement utilisé.</w:t>
      </w:r>
    </w:p>
    <w:tbl>
      <w:tblPr>
        <w:tblStyle w:val="TableGrid"/>
        <w:tblW w:type="auto" w:w="0"/>
        <w:tblLayout w:type="autofit"/>
        <w:tblLook w:firstColumn="1" w:firstRow="1" w:lastColumn="0" w:lastRow="0" w:noHBand="0" w:noVBand="1" w:val="04A0"/>
      </w:tblPr>
      <w:tblGrid>
        <w:gridCol w:w="2436"/>
        <w:gridCol w:w="2436"/>
        <w:gridCol w:w="2436"/>
        <w:gridCol w:w="2436"/>
      </w:tblGrid>
      <w:tr>
        <w:trPr>
          <w:cantSplit/>
          <w:tblHeader/>
        </w:trPr>
        <w:tc>
          <w:tcPr>
            <w:tcW w:type="dxa" w:w="2436"/>
            <w:vAlign w:val="center"/>
            <w:shd w:fill="DCE8F7"/>
          </w:tcPr>
          <w:p>
            <w:pPr>
              <w:keepNext/>
              <w:spacing w:after="40"/>
            </w:pPr>
            <w:r>
              <w:rPr>
                <w:rFonts w:ascii="Noto Sans" w:hAnsi="Noto Sans" w:eastAsia="Noto Sans TC" w:cs="Noto Sans"/>
                <w:b/>
                <w:sz w:val="17"/>
              </w:rPr>
              <w:t>Nom et méthode</w:t>
            </w:r>
          </w:p>
        </w:tc>
        <w:tc>
          <w:tcPr>
            <w:tcW w:type="dxa" w:w="2436"/>
            <w:vAlign w:val="center"/>
            <w:shd w:fill="DCE8F7"/>
          </w:tcPr>
          <w:p>
            <w:pPr>
              <w:keepNext/>
              <w:spacing w:after="40"/>
            </w:pPr>
            <w:r>
              <w:rPr>
                <w:rFonts w:ascii="Noto Sans" w:hAnsi="Noto Sans" w:eastAsia="Noto Sans TC" w:cs="Noto Sans"/>
                <w:b/>
                <w:sz w:val="17"/>
              </w:rPr>
              <w:t>Fournisseur et contexte</w:t>
            </w:r>
          </w:p>
        </w:tc>
        <w:tc>
          <w:tcPr>
            <w:tcW w:type="dxa" w:w="2436"/>
            <w:vAlign w:val="center"/>
            <w:shd w:fill="DCE8F7"/>
          </w:tcPr>
          <w:p>
            <w:pPr>
              <w:keepNext/>
              <w:spacing w:after="40"/>
            </w:pPr>
            <w:r>
              <w:rPr>
                <w:rFonts w:ascii="Noto Sans" w:hAnsi="Noto Sans" w:eastAsia="Noto Sans TC" w:cs="Noto Sans"/>
                <w:b/>
                <w:sz w:val="17"/>
              </w:rPr>
              <w:t>But et catégorie</w:t>
            </w:r>
          </w:p>
        </w:tc>
        <w:tc>
          <w:tcPr>
            <w:tcW w:type="dxa" w:w="2436"/>
            <w:vAlign w:val="center"/>
            <w:shd w:fill="DCE8F7"/>
          </w:tcPr>
          <w:p>
            <w:pPr>
              <w:keepNext/>
              <w:spacing w:after="40"/>
            </w:pPr>
            <w:r>
              <w:rPr>
                <w:rFonts w:ascii="Noto Sans" w:hAnsi="Noto Sans" w:eastAsia="Noto Sans TC" w:cs="Noto Sans"/>
                <w:b/>
                <w:sz w:val="17"/>
              </w:rPr>
              <w:t>Conservation par le navigateur</w:t>
            </w:r>
          </w:p>
        </w:tc>
      </w:tr>
      <w:tr>
        <w:trPr>
          <w:cantSplit/>
        </w:trPr>
        <w:tc>
          <w:tcPr>
            <w:tcW w:type="dxa" w:w="2436"/>
            <w:vAlign w:val="center"/>
          </w:tcPr>
          <w:p>
            <w:pPr>
              <w:spacing w:after="40"/>
            </w:pPr>
            <w:r>
              <w:rPr>
                <w:rFonts w:ascii="Noto Sans" w:hAnsi="Noto Sans" w:eastAsia="Noto Sans TC" w:cs="Noto Sans"/>
                <w:sz w:val="17"/>
              </w:rPr>
              <w:t>zg-locale · Local Storage</w:t>
            </w:r>
          </w:p>
        </w:tc>
        <w:tc>
          <w:tcPr>
            <w:tcW w:type="dxa" w:w="2436"/>
            <w:vAlign w:val="center"/>
          </w:tcPr>
          <w:p>
            <w:pPr>
              <w:spacing w:after="40"/>
            </w:pPr>
            <w:r>
              <w:rPr>
                <w:rFonts w:ascii="Noto Sans" w:hAnsi="Noto Sans" w:eastAsia="Noto Sans TC" w:cs="Noto Sans"/>
                <w:sz w:val="17"/>
              </w:rPr>
              <w:t>Site web DAWNBLOOM · Sélection de langue/page d'accueil</w:t>
            </w:r>
          </w:p>
        </w:tc>
        <w:tc>
          <w:tcPr>
            <w:tcW w:type="dxa" w:w="2436"/>
            <w:vAlign w:val="center"/>
          </w:tcPr>
          <w:p>
            <w:pPr>
              <w:spacing w:after="40"/>
            </w:pPr>
            <w:r>
              <w:rPr>
                <w:rFonts w:ascii="Noto Sans" w:hAnsi="Noto Sans" w:eastAsia="Noto Sans TC" w:cs="Noto Sans"/>
                <w:sz w:val="17"/>
              </w:rPr>
              <w:t>Mémoriser la langue du site web ; préférence fonctionnelle</w:t>
            </w:r>
          </w:p>
        </w:tc>
        <w:tc>
          <w:tcPr>
            <w:tcW w:type="dxa" w:w="2436"/>
            <w:vAlign w:val="center"/>
          </w:tcPr>
          <w:p>
            <w:pPr>
              <w:spacing w:after="40"/>
            </w:pPr>
            <w:r>
              <w:rPr>
                <w:rFonts w:ascii="Noto Sans" w:hAnsi="Noto Sans" w:eastAsia="Noto Sans TC" w:cs="Noto Sans"/>
                <w:sz w:val="17"/>
              </w:rPr>
              <w:t>Jusqu'à ce que l'utilisateur le supprime ou que le code du site change</w:t>
            </w:r>
          </w:p>
        </w:tc>
      </w:tr>
      <w:tr>
        <w:trPr>
          <w:cantSplit/>
        </w:trPr>
        <w:tc>
          <w:tcPr>
            <w:tcW w:type="dxa" w:w="2436"/>
            <w:vAlign w:val="center"/>
          </w:tcPr>
          <w:p>
            <w:pPr>
              <w:spacing w:after="40"/>
            </w:pPr>
            <w:r>
              <w:rPr>
                <w:rFonts w:ascii="Noto Sans" w:hAnsi="Noto Sans" w:eastAsia="Noto Sans TC" w:cs="Noto Sans"/>
                <w:sz w:val="17"/>
              </w:rPr>
              <w:t>zg-community-csrf · Session Storage</w:t>
            </w:r>
          </w:p>
        </w:tc>
        <w:tc>
          <w:tcPr>
            <w:tcW w:type="dxa" w:w="2436"/>
            <w:vAlign w:val="center"/>
          </w:tcPr>
          <w:p>
            <w:pPr>
              <w:spacing w:after="40"/>
            </w:pPr>
            <w:r>
              <w:rPr>
                <w:rFonts w:ascii="Noto Sans" w:hAnsi="Noto Sans" w:eastAsia="Noto Sans TC" w:cs="Noto Sans"/>
                <w:sz w:val="17"/>
              </w:rPr>
              <w:t>Place DAWNBLOOM/récupération de compte</w:t>
            </w:r>
          </w:p>
        </w:tc>
        <w:tc>
          <w:tcPr>
            <w:tcW w:type="dxa" w:w="2436"/>
            <w:vAlign w:val="center"/>
          </w:tcPr>
          <w:p>
            <w:pPr>
              <w:spacing w:after="40"/>
            </w:pPr>
            <w:r>
              <w:rPr>
                <w:rFonts w:ascii="Noto Sans" w:hAnsi="Noto Sans" w:eastAsia="Noto Sans TC" w:cs="Noto Sans"/>
                <w:sz w:val="17"/>
              </w:rPr>
              <w:t>Conserver un identifiant de requête anti-forgery dans la session ; sécurité nécessaire</w:t>
            </w:r>
          </w:p>
        </w:tc>
        <w:tc>
          <w:tcPr>
            <w:tcW w:type="dxa" w:w="2436"/>
            <w:vAlign w:val="center"/>
          </w:tcPr>
          <w:p>
            <w:pPr>
              <w:spacing w:after="40"/>
            </w:pPr>
            <w:r>
              <w:rPr>
                <w:rFonts w:ascii="Noto Sans" w:hAnsi="Noto Sans" w:eastAsia="Noto Sans TC" w:cs="Noto Sans"/>
                <w:sz w:val="17"/>
              </w:rPr>
              <w:t>Jusqu'à la fin de la session de l'onglet du navigateur actuel</w:t>
            </w:r>
          </w:p>
        </w:tc>
      </w:tr>
      <w:tr>
        <w:trPr>
          <w:cantSplit/>
        </w:trPr>
        <w:tc>
          <w:tcPr>
            <w:tcW w:type="dxa" w:w="2436"/>
            <w:vAlign w:val="center"/>
          </w:tcPr>
          <w:p>
            <w:pPr>
              <w:spacing w:after="40"/>
            </w:pPr>
            <w:r>
              <w:rPr>
                <w:rFonts w:ascii="Noto Sans" w:hAnsi="Noto Sans" w:eastAsia="Noto Sans TC" w:cs="Noto Sans"/>
                <w:sz w:val="17"/>
              </w:rPr>
              <w:t>dawnbloom_web_session / clw_community_session · Cookie</w:t>
            </w:r>
          </w:p>
        </w:tc>
        <w:tc>
          <w:tcPr>
            <w:tcW w:type="dxa" w:w="2436"/>
            <w:vAlign w:val="center"/>
          </w:tcPr>
          <w:p>
            <w:pPr>
              <w:spacing w:after="40"/>
            </w:pPr>
            <w:r>
              <w:rPr>
                <w:rFonts w:ascii="Noto Sans" w:hAnsi="Noto Sans" w:eastAsia="Noto Sans TC" w:cs="Noto Sans"/>
                <w:sz w:val="17"/>
              </w:rPr>
              <w:t>Service de compte DAWNBLOOM · après la connexion unique</w:t>
            </w:r>
          </w:p>
        </w:tc>
        <w:tc>
          <w:tcPr>
            <w:tcW w:type="dxa" w:w="2436"/>
            <w:vAlign w:val="center"/>
          </w:tcPr>
          <w:p>
            <w:pPr>
              <w:spacing w:after="40"/>
            </w:pPr>
            <w:r>
              <w:rPr>
                <w:rFonts w:ascii="Noto Sans" w:hAnsi="Noto Sans" w:eastAsia="Noto Sans TC" w:cs="Noto Sans"/>
                <w:sz w:val="17"/>
              </w:rPr>
              <w:t>Maintenir la connexion au compte et à la communauté ; fonctionnalité et sécurité nécessaires. Secure, HttpOnly, SameSite=Strict</w:t>
            </w:r>
          </w:p>
        </w:tc>
        <w:tc>
          <w:tcPr>
            <w:tcW w:type="dxa" w:w="2436"/>
            <w:vAlign w:val="center"/>
          </w:tcPr>
          <w:p>
            <w:pPr>
              <w:spacing w:after="40"/>
            </w:pPr>
            <w:r>
              <w:rPr>
                <w:rFonts w:ascii="Noto Sans" w:hAnsi="Noto Sans" w:eastAsia="Noto Sans TC" w:cs="Noto Sans"/>
                <w:sz w:val="17"/>
              </w:rPr>
              <w:t>Cookies de session navigateur ; les sessions côté serveur ont leur propre expiration</w:t>
            </w:r>
          </w:p>
        </w:tc>
      </w:tr>
      <w:tr>
        <w:trPr>
          <w:cantSplit/>
        </w:trPr>
        <w:tc>
          <w:tcPr>
            <w:tcW w:type="dxa" w:w="2436"/>
            <w:vAlign w:val="center"/>
          </w:tcPr>
          <w:p>
            <w:pPr>
              <w:spacing w:after="40"/>
            </w:pPr>
            <w:r>
              <w:rPr>
                <w:rFonts w:ascii="Noto Sans" w:hAnsi="Noto Sans" w:eastAsia="Noto Sans TC" w:cs="Noto Sans"/>
                <w:sz w:val="17"/>
              </w:rPr>
              <w:t>dawnbloom-minigame-muted · Local Storage</w:t>
            </w:r>
          </w:p>
        </w:tc>
        <w:tc>
          <w:tcPr>
            <w:tcW w:type="dxa" w:w="2436"/>
            <w:vAlign w:val="center"/>
          </w:tcPr>
          <w:p>
            <w:pPr>
              <w:spacing w:after="40"/>
            </w:pPr>
            <w:r>
              <w:rPr>
                <w:rFonts w:ascii="Noto Sans" w:hAnsi="Noto Sans" w:eastAsia="Noto Sans TC" w:cs="Noto Sans"/>
                <w:sz w:val="17"/>
              </w:rPr>
              <w:t>Mini-jeux DAWNBLOOM</w:t>
            </w:r>
          </w:p>
        </w:tc>
        <w:tc>
          <w:tcPr>
            <w:tcW w:type="dxa" w:w="2436"/>
            <w:vAlign w:val="center"/>
          </w:tcPr>
          <w:p>
            <w:pPr>
              <w:spacing w:after="40"/>
            </w:pPr>
            <w:r>
              <w:rPr>
                <w:rFonts w:ascii="Noto Sans" w:hAnsi="Noto Sans" w:eastAsia="Noto Sans TC" w:cs="Noto Sans"/>
                <w:sz w:val="17"/>
              </w:rPr>
              <w:t>Mémoriser la préférence de mise en sourdine ; fonctionnel</w:t>
            </w:r>
          </w:p>
        </w:tc>
        <w:tc>
          <w:tcPr>
            <w:tcW w:type="dxa" w:w="2436"/>
            <w:vAlign w:val="center"/>
          </w:tcPr>
          <w:p>
            <w:pPr>
              <w:spacing w:after="40"/>
            </w:pPr>
            <w:r>
              <w:rPr>
                <w:rFonts w:ascii="Noto Sans" w:hAnsi="Noto Sans" w:eastAsia="Noto Sans TC" w:cs="Noto Sans"/>
                <w:sz w:val="17"/>
              </w:rPr>
              <w:t>Jusqu'à ce que l'utilisateur le supprime ou que le code du site change</w:t>
            </w:r>
          </w:p>
        </w:tc>
      </w:tr>
      <w:tr>
        <w:trPr>
          <w:cantSplit/>
        </w:trPr>
        <w:tc>
          <w:tcPr>
            <w:tcW w:type="dxa" w:w="2436"/>
            <w:vAlign w:val="center"/>
          </w:tcPr>
          <w:p>
            <w:pPr>
              <w:spacing w:after="40"/>
            </w:pPr>
            <w:r>
              <w:rPr>
                <w:rFonts w:ascii="Noto Sans" w:hAnsi="Noto Sans" w:eastAsia="Noto Sans TC" w:cs="Noto Sans"/>
                <w:sz w:val="17"/>
              </w:rPr>
              <w:t>Position de la musique du mini-jeu · Stockage de session</w:t>
            </w:r>
          </w:p>
        </w:tc>
        <w:tc>
          <w:tcPr>
            <w:tcW w:type="dxa" w:w="2436"/>
            <w:vAlign w:val="center"/>
          </w:tcPr>
          <w:p>
            <w:pPr>
              <w:spacing w:after="40"/>
            </w:pPr>
            <w:r>
              <w:rPr>
                <w:rFonts w:ascii="Noto Sans" w:hAnsi="Noto Sans" w:eastAsia="Noto Sans TC" w:cs="Noto Sans"/>
                <w:sz w:val="17"/>
              </w:rPr>
              <w:t>Mini-jeux DAWNBLOOM</w:t>
            </w:r>
          </w:p>
        </w:tc>
        <w:tc>
          <w:tcPr>
            <w:tcW w:type="dxa" w:w="2436"/>
            <w:vAlign w:val="center"/>
          </w:tcPr>
          <w:p>
            <w:pPr>
              <w:spacing w:after="40"/>
            </w:pPr>
            <w:r>
              <w:rPr>
                <w:rFonts w:ascii="Noto Sans" w:hAnsi="Noto Sans" w:eastAsia="Noto Sans TC" w:cs="Noto Sans"/>
                <w:sz w:val="17"/>
              </w:rPr>
              <w:t>Reprendre la musique dans le même onglet ; fonctionnel</w:t>
            </w:r>
          </w:p>
        </w:tc>
        <w:tc>
          <w:tcPr>
            <w:tcW w:type="dxa" w:w="2436"/>
            <w:vAlign w:val="center"/>
          </w:tcPr>
          <w:p>
            <w:pPr>
              <w:spacing w:after="40"/>
            </w:pPr>
            <w:r>
              <w:rPr>
                <w:rFonts w:ascii="Noto Sans" w:hAnsi="Noto Sans" w:eastAsia="Noto Sans TC" w:cs="Noto Sans"/>
                <w:sz w:val="17"/>
              </w:rPr>
              <w:t>Jusqu'à la fin de la session de l'onglet du navigateur actuel</w:t>
            </w:r>
          </w:p>
        </w:tc>
      </w:tr>
    </w:tbl>
    <w:p>
      <w:pPr>
        <w:spacing w:after="40"/>
      </w:pPr>
    </w:p>
    <w:p>
      <w:pPr>
        <w:keepLines w:val="0"/>
      </w:pPr>
      <w:r>
        <w:rPr>
          <w:rFonts w:ascii="Noto Sans" w:hAnsi="Noto Sans" w:eastAsia="Noto Sans TC" w:cs="Noto Sans"/>
          <w:b w:val="0"/>
        </w:rPr>
        <w:t>Les cookies de sécurité Cloudflare et leur durée dépendent de la configuration de sécurité réelle et de la visite ; le code source ne peut pas établir qu'ils apparaissent à chaque visite. Toute nouvelle technologie d'analyse ou de publicité non essentielle nécessitera d'abord une mise à jour de cette liste et des choix applicables.</w:t>
      </w:r>
    </w:p>
    <w:p>
      <w:pPr>
        <w:pStyle w:val="Heading1"/>
        <w:keepLines w:val="0"/>
      </w:pPr>
      <w:r>
        <w:rPr>
          <w:rFonts w:ascii="Noto Sans" w:hAnsi="Noto Sans" w:eastAsia="Noto Sans TC" w:cs="Noto Sans"/>
          <w:b w:val="0"/>
        </w:rPr>
        <w:t>14. Contactez-nous</w:t>
      </w:r>
    </w:p>
    <w:p>
      <w:pPr>
        <w:keepLines w:val="0"/>
      </w:pPr>
      <w:r>
        <w:rPr>
          <w:rFonts w:ascii="Noto Sans" w:hAnsi="Noto Sans" w:eastAsia="Noto Sans TC" w:cs="Noto Sans"/>
          <w:b w:val="0"/>
        </w:rPr>
        <w:t>Si vous avez des questions concernant les cookies, des technologies similaires ou des préférences en matière de confidentialité, vous pouvez nous contacter via les canaux suivants :</w:t>
      </w:r>
    </w:p>
    <w:p>
      <w:pPr>
        <w:keepLines w:val="0"/>
      </w:pPr>
      <w:r>
        <w:rPr>
          <w:rFonts w:ascii="Noto Sans" w:hAnsi="Noto Sans" w:eastAsia="Noto Sans TC" w:cs="Noto Sans"/>
          <w:b w:val="0"/>
        </w:rPr>
        <w:t xml:space="preserve">Juridique, droits d'auteur et confidentialité : </w:t>
      </w:r>
      <w:hyperlink r:id="rId12">
        <w:r>
          <w:rPr>
            <w:rFonts w:ascii="Noto Sans" w:hAnsi="Noto Sans" w:eastAsia="Noto Sans TC"/>
            <w:b w:val="0"/>
          </w:rPr>
          <w:t xml:space="preserve">legal@dawnbloom.net</w:t>
        </w:r>
      </w:hyperlink>
      <w:r>
        <w:rPr>
          <w:rFonts w:ascii="Noto Sans" w:hAnsi="Noto Sans" w:eastAsia="Noto Sans TC" w:cs="Noto Sans"/>
          <w:b w:val="0"/>
        </w:rPr>
        <w:t xml:space="preserve"> ; Support général des joueurs : </w:t>
      </w:r>
      <w:hyperlink r:id="rId13">
        <w:r>
          <w:rPr>
            <w:rFonts w:ascii="Noto Sans" w:hAnsi="Noto Sans" w:eastAsia="Noto Sans TC"/>
            <w:b w:val="0"/>
          </w:rPr>
          <w:t xml:space="preserve">support@dawnbloom.net</w:t>
        </w:r>
      </w:hyperlink>
    </w:p>
    <w:p>
      <w:pPr>
        <w:keepLines w:val="0"/>
      </w:pPr>
      <w:r>
        <w:rPr>
          <w:rFonts w:ascii="Noto Sans" w:hAnsi="Noto Sans" w:eastAsia="Noto Sans TC" w:cs="Noto Sans"/>
          <w:b w:val="0"/>
        </w:rPr>
        <w:t xml:space="preserve">Site web officiel : </w:t>
      </w:r>
      <w:hyperlink r:id="rId14">
        <w:r>
          <w:rPr>
            <w:rFonts w:ascii="Noto Sans" w:hAnsi="Noto Sans" w:eastAsia="Noto Sans TC"/>
            <w:b w:val="0"/>
          </w:rPr>
          <w:t xml:space="preserve">https://dawnbloom.net</w:t>
        </w:r>
      </w:hyperlink>
    </w:p>
    <w:p>
      <w:pPr>
        <w:keepLines w:val="0"/>
      </w:pPr>
      <w:r>
        <w:rPr>
          <w:rFonts w:ascii="Noto Sans" w:hAnsi="Noto Sans" w:eastAsia="Noto Sans TC" w:cs="Noto Sans"/>
          <w:b w:val="0"/>
        </w:rPr>
        <w:t>Opérateur / fournisseur de services Web : Shanghai Zhuiguang Zhichuang Cultural Media Co., Ltd. (nom public anglais : SHANGHAI LUMIREALM CREATIVE MEDIA CO., LTD.)</w:t>
      </w:r>
    </w:p>
    <w:p>
      <w:pPr>
        <w:keepLines w:val="0"/>
      </w:pPr>
      <w:r>
        <w:rPr>
          <w:rFonts w:ascii="Noto Sans" w:hAnsi="Noto Sans" w:eastAsia="Noto Sans TC" w:cs="Noto Sans"/>
          <w:b w:val="0"/>
        </w:rPr>
        <w:t>Adresse des opérations / Adresse officielle de contact : Room 218, Building 3, No. 336 Tianjiao Road, Lin-gang Special Area of the China (Shanghai) Pilot Free Trade Zone, China</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eastAsia="Noto Sans TC"/>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w:hAnsi="Noto Sans" w:eastAsia="Noto Sans TC"/>
        <w:color w:val="67778B"/>
        <w:sz w:val="15"/>
      </w:rPr>
      <w:t>DAWNBLOOM · OFFICIAL LEGAL DOCUMENT · V7</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Noto Sans" w:hAnsi="Noto Sans" w:eastAsia="Noto Sans TC"/>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Noto Sans" w:hAnsi="Noto Sans" w:eastAsia="Noto Sans TC"/>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Noto Sans" w:hAnsi="Noto Sans" w:eastAsia="Noto Sans TC"/>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Noto Sans" w:hAnsi="Noto Sans" w:eastAsia="Noto Sans TC"/>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w:hAnsi="Noto Sans" w:eastAsia="Noto Sans TC"/>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dawnbloom.net/kr/." TargetMode="External"/><Relationship Id="rId12" Type="http://schemas.openxmlformats.org/officeDocument/2006/relationships/hyperlink" Target="mailto:legal@dawnbloom.net" TargetMode="External"/><Relationship Id="rId13" Type="http://schemas.openxmlformats.org/officeDocument/2006/relationships/hyperlink" Target="mailto:support@dawnbloom.net" TargetMode="External"/><Relationship Id="rId14" Type="http://schemas.openxmlformats.org/officeDocument/2006/relationships/hyperlink" Target="https://dawnbloo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Politique relative aux cookies et technologies similaires de DAWNBLOOM</dc:title>
  <dc:subject>DAWNBLOOM legal document V7</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