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d’utilisation de DAWNBLOOM AI</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pStyle w:val="Heading1"/>
        <w:keepLines w:val="0"/>
      </w:pPr>
      <w:r>
        <w:rPr>
          <w:rFonts w:ascii="Noto Sans" w:hAnsi="Noto Sans" w:eastAsia="Noto Sans TC" w:cs="Noto Sans"/>
          <w:b w:val="0"/>
        </w:rPr>
        <w:t>1. Prestataire, dénominations et champ d’application</w:t>
      </w:r>
    </w:p>
    <w:p>
      <w:pPr>
        <w:keepLines w:val="0"/>
      </w:pPr>
      <w:r>
        <w:rPr>
          <w:rFonts w:ascii="Noto Sans" w:hAnsi="Noto Sans" w:eastAsia="Noto Sans TC" w:cs="Noto Sans"/>
          <w:b w:val="0"/>
        </w:rPr>
        <w:t>上海追光智创文化传媒有限公司 fournit ce service. DAWNBLOOM AI est la marque du système d’interaction intelligent et des services techniques de notre société ; DAWNBLOOM Fairy est le compagnon intelligent et le personnage d’interaction destinés aux utilisateurs au sein de ce même ensemble de services. DAWNBLOOM AI 2.0 désigne la version publique de cet ensemble de services intelligents et ne signifie pas que notre société a entraîné de manière indépendante un grand modèle de langage de base. Les présentes conditions s’appliquent conjointement avec les conditions de service DAWNBLOOM, la politique de confidentialité, le code de conduite des joueurs et les autres politiques applicables ; elles régissent uniquement les aspects propres aux services intelligents et ne réduisent pas les droits prévus par la loi.</w:t>
      </w:r>
    </w:p>
    <w:p>
      <w:pPr>
        <w:pStyle w:val="Heading1"/>
        <w:keepLines w:val="0"/>
      </w:pPr>
      <w:r>
        <w:rPr>
          <w:rFonts w:ascii="Noto Sans" w:hAnsi="Noto Sans" w:eastAsia="Noto Sans TC" w:cs="Noto Sans"/>
          <w:b w:val="0"/>
        </w:rPr>
        <w:t>2. Contenu des services et limites linguistiques</w:t>
      </w:r>
    </w:p>
    <w:p>
      <w:pPr>
        <w:keepLines w:val="0"/>
      </w:pPr>
      <w:r>
        <w:rPr>
          <w:rFonts w:ascii="Noto Sans" w:hAnsi="Noto Sans" w:eastAsia="Noto Sans TC" w:cs="Noto Sans"/>
          <w:b w:val="0"/>
        </w:rPr>
        <w:t>Les services se limitent aux questions et réponses portant sur les connaissances publiques relatives au jeu et aux produits, aux échanges textuels en langage naturel, à l’orientation vers les services aux joueurs et aux fonctionnalités d’interface Intelligent UI effectivement accessibles ; les langues prises en charge par le site officiel n’étendent pas les langues propres au client du jeu ou à chacun des six logiciels. La génération ou la modification d’images, la création de PDF, de documents Word, de présentations ou de feuilles de calcul, ainsi que l’automatisation bureautique générale ne sont actuellement pas proposées. La version du site officiel s’inscrit dans le dispositif des 20 langues du site officiel ; dans le jeu, les langues restent limitées au chinois, à l’anglais, au japonais et au coréen. La prise en charge d’une langue ne signifie pas qu’un service client humain ou des conseils juridiques professionnels sont proposés dans cette langue.</w:t>
      </w:r>
    </w:p>
    <w:p>
      <w:pPr>
        <w:pStyle w:val="Heading1"/>
        <w:keepLines w:val="0"/>
      </w:pPr>
      <w:r>
        <w:rPr>
          <w:rFonts w:ascii="Noto Sans" w:hAnsi="Noto Sans" w:eastAsia="Noto Sans TC" w:cs="Noto Sans"/>
          <w:b w:val="0"/>
        </w:rPr>
        <w:t>3. Connaissances publiques et informations protégées</w:t>
      </w:r>
    </w:p>
    <w:p>
      <w:pPr>
        <w:keepLines w:val="0"/>
      </w:pPr>
      <w:r>
        <w:rPr>
          <w:rFonts w:ascii="Noto Sans" w:hAnsi="Noto Sans" w:eastAsia="Noto Sans TC" w:cs="Noto Sans"/>
          <w:b w:val="0"/>
        </w:rPr>
        <w:t>Les questions et réponses se limitent aux informations relatives au jeu, aux produits et au service client dont la publication a été autorisée. Les éléments non publiés concernant l’intrigue, les quêtes, les cartes, les probabilités, les formules, la conception interne, les informations GM, les mesures de sécurité et l’exploitation de vulnérabilités ne sont pas accessibles aux utilisateurs. Il est interdit d’utiliser les questions et réponses pour extraire des informations protégées.</w:t>
      </w:r>
    </w:p>
    <w:p>
      <w:pPr>
        <w:pStyle w:val="Heading1"/>
        <w:keepLines w:val="0"/>
      </w:pPr>
      <w:r>
        <w:rPr>
          <w:rFonts w:ascii="Noto Sans" w:hAnsi="Noto Sans" w:eastAsia="Noto Sans TC" w:cs="Noto Sans"/>
          <w:b w:val="0"/>
        </w:rPr>
        <w:t>4. Intelligent UI et confirmation de l’utilisateur</w:t>
      </w:r>
    </w:p>
    <w:p>
      <w:pPr>
        <w:keepLines w:val="0"/>
      </w:pPr>
      <w:r>
        <w:rPr>
          <w:rFonts w:ascii="Noto Sans" w:hAnsi="Noto Sans" w:eastAsia="Noto Sans TC" w:cs="Noto Sans"/>
          <w:b w:val="0"/>
        </w:rPr>
        <w:t>Intelligent UI associe les réponses à des fiches d’information interactives, à des accès aux fonctionnalités et à des interfaces de confirmation. Les informations concernant les créatures fantastiques, les équipements, les objets, les historiques personnels de jeu et la sécurité du compte ne sont fournies que si la fonctionnalité concernée est accessible, si la personne concernée a valablement donné son autorisation et si le système serveur a confirmé son identité et les droits d’accès correspondants. L’apparition d’une réponse de l’IA, d’une fiche ou d’un bouton ne signifie pas qu’une opération a été exécutée ; les opérations sensibles doivent faire l’objet d’une vérification officielle et des confirmations nécessaires, et leur résultat est celui indiqué par le système. Il est interdit de contourner le système d’autorisations pour modifier les données des joueurs ou consulter les informations non publiques d’autrui. Les données explicitement présentées comme des données de démonstration ne sont pas les données de la personne concernée et ne prouvent pas la réussite d’une consultation ou d’une opération réelle.</w:t>
      </w:r>
    </w:p>
    <w:p>
      <w:pPr>
        <w:pStyle w:val="Heading1"/>
        <w:keepLines w:val="0"/>
      </w:pPr>
      <w:r>
        <w:rPr>
          <w:rFonts w:ascii="Noto Sans" w:hAnsi="Noto Sans" w:eastAsia="Noto Sans TC" w:cs="Noto Sans"/>
          <w:b w:val="0"/>
        </w:rPr>
        <w:t>5. Exactitude des réponses et vérification des informations importantes</w:t>
      </w:r>
    </w:p>
    <w:p>
      <w:pPr>
        <w:keepLines w:val="0"/>
      </w:pPr>
      <w:r>
        <w:rPr>
          <w:rFonts w:ascii="Noto Sans" w:hAnsi="Noto Sans" w:eastAsia="Noto Sans TC" w:cs="Noto Sans"/>
          <w:b w:val="0"/>
        </w:rPr>
        <w:t xml:space="preserve">Les réponses de l’IA peuvent comporter des erreurs de compréhension, des omissions ou des informations tardives ; elles ne remplacent pas les annonces officielles, les règles du jeu, les conditions relatives aux produits et aux remboursements, les données vérifiées dans un cadre autorisé ou les résultats d’une vérification humaine. Les utilisateurs doivent vérifier de manière indépendante les informations importantes et peuvent signaler des erreurs ou présenter un recours à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 les suggestions de l’IA ne modifient pas à elles seules les droits existants des utilisateurs ni les voies de recours prévues par la loi. L’IA ne rend pas de décision définitive en matière juridique, médicale, financière ou dans d’autres domaines professionnels.</w:t>
      </w:r>
    </w:p>
    <w:p>
      <w:pPr>
        <w:pStyle w:val="Heading1"/>
        <w:keepLines w:val="0"/>
      </w:pPr>
      <w:r>
        <w:rPr>
          <w:rFonts w:ascii="Noto Sans" w:hAnsi="Noto Sans" w:eastAsia="Noto Sans TC" w:cs="Noto Sans"/>
          <w:b w:val="0"/>
        </w:rPr>
        <w:t>6. Droits et responsabilités relatifs aux contenus saisis et générés</w:t>
      </w:r>
    </w:p>
    <w:p>
      <w:pPr>
        <w:keepLines w:val="0"/>
      </w:pPr>
      <w:r>
        <w:rPr>
          <w:rFonts w:ascii="Noto Sans" w:hAnsi="Noto Sans" w:eastAsia="Noto Sans TC" w:cs="Noto Sans"/>
          <w:b w:val="0"/>
        </w:rPr>
        <w:t>Les utilisateurs doivent avoir le droit de fournir les contenus saisis et ne doivent pas soumettre d’informations illicites ou portant atteinte aux droits d’autrui. Ils sont responsables de la licéité de l’utilisation et de la diffusion des contenus générés ainsi que des vérifications nécessaires. La génération d’une réponse par notre société ne confère aucun droit sur les œuvres, les marques ou les données personnelles de tiers ; les droits des utilisateurs sur les contenus générés qui existent en vertu de la loi, ainsi que les autres droits légaux, ne sont pas exclus par les présentes conditions.</w:t>
      </w:r>
    </w:p>
    <w:p>
      <w:pPr>
        <w:pStyle w:val="Heading1"/>
        <w:keepLines w:val="0"/>
      </w:pPr>
      <w:r>
        <w:rPr>
          <w:rFonts w:ascii="Noto Sans" w:hAnsi="Noto Sans" w:eastAsia="Noto Sans TC" w:cs="Noto Sans"/>
          <w:b w:val="0"/>
        </w:rPr>
        <w:t>7. Utilisation sécurisée et interdiction des abus</w:t>
      </w:r>
    </w:p>
    <w:p>
      <w:pPr>
        <w:keepLines w:val="0"/>
      </w:pPr>
      <w:r>
        <w:rPr>
          <w:rFonts w:ascii="Noto Sans" w:hAnsi="Noto Sans" w:eastAsia="Noto Sans TC" w:cs="Noto Sans"/>
          <w:b w:val="0"/>
        </w:rPr>
        <w:t>Il est interdit de mener des attaques, d’effectuer des requêtes massives malveillantes, d’usurper une identité, de contourner les codes de vérification ou les autorisations, de soumettre des instructions malveillantes, de voler des contenus non publics ou de fabriquer de faux engagements officiels. Veuillez ne pas fournir de mots de passe, de codes de vérification à usage unique complets, de mots de passe de paiement, de jetons ou d’autres informations sensibles non nécessaires.</w:t>
      </w:r>
    </w:p>
    <w:p>
      <w:pPr>
        <w:pStyle w:val="Heading1"/>
        <w:keepLines w:val="0"/>
      </w:pPr>
      <w:r>
        <w:rPr>
          <w:rFonts w:ascii="Noto Sans" w:hAnsi="Noto Sans" w:eastAsia="Noto Sans TC" w:cs="Noto Sans"/>
          <w:b w:val="0"/>
        </w:rPr>
        <w:t>8. Données du compte et opérations de jeu</w:t>
      </w:r>
    </w:p>
    <w:p>
      <w:pPr>
        <w:keepLines w:val="0"/>
      </w:pPr>
      <w:r>
        <w:rPr>
          <w:rFonts w:ascii="Noto Sans" w:hAnsi="Noto Sans" w:eastAsia="Noto Sans TC" w:cs="Noto Sans"/>
          <w:b w:val="0"/>
        </w:rPr>
        <w:t>Les créatures fantastiques, équipements, objets, actifs et historiques personnels ne peuvent être consultés que dans les limites d’une autorisation valablement donnée par la personne concernée et d’une vérification par le système serveur. L’IA n’obtient pas de privilèges GM et ne modifie pas directement les actifs, les sanctions ou les mécanismes officiels du jeu ; les restaurations, les litiges et les recours sont vérifiés dans le cadre des procédures officielles.</w:t>
      </w:r>
    </w:p>
    <w:p>
      <w:pPr>
        <w:pStyle w:val="Heading1"/>
        <w:keepLines w:val="0"/>
      </w:pPr>
      <w:r>
        <w:rPr>
          <w:rFonts w:ascii="Noto Sans" w:hAnsi="Noto Sans" w:eastAsia="Noto Sans TC" w:cs="Noto Sans"/>
          <w:b w:val="0"/>
        </w:rPr>
        <w:t>9. Mineurs</w:t>
      </w:r>
    </w:p>
    <w:p>
      <w:pPr>
        <w:keepLines w:val="0"/>
      </w:pPr>
      <w:r>
        <w:rPr>
          <w:rFonts w:ascii="Noto Sans" w:hAnsi="Noto Sans" w:eastAsia="Noto Sans TC" w:cs="Noto Sans"/>
          <w:b w:val="0"/>
        </w:rPr>
        <w:t>Les comptes et les services de jeu restent soumis à la condition d’éligibilité existante exigeant d’avoir au moins 18 ans ; les services d’IA n’assouplissent pas cette condition. L’accès aux informations publiques ne vaut pas autorisation de créer ou d’utiliser un compte de jeu. Lorsque des informations concernant des mineurs sont en jeu, les exigences de protection applicables sont respectées ; une conversation avec l’IA ne remplace pas le consentement du représentant légal ou les vérifications exigés par la loi.</w:t>
      </w:r>
    </w:p>
    <w:p>
      <w:pPr>
        <w:pStyle w:val="Heading1"/>
        <w:keepLines w:val="0"/>
      </w:pPr>
      <w:r>
        <w:rPr>
          <w:rFonts w:ascii="Noto Sans" w:hAnsi="Noto Sans" w:eastAsia="Noto Sans TC" w:cs="Noto Sans"/>
          <w:b w:val="0"/>
        </w:rPr>
        <w:t>10. Modèles tiers et traitement des données</w:t>
      </w:r>
    </w:p>
    <w:p>
      <w:pPr>
        <w:keepLines w:val="0"/>
      </w:pPr>
      <w:r>
        <w:rPr>
          <w:rFonts w:ascii="Noto Sans" w:hAnsi="Noto Sans" w:eastAsia="Noto Sans TC" w:cs="Noto Sans"/>
          <w:b w:val="0"/>
        </w:rPr>
        <w:t>L’intégration technique utilise les capacités de Qwen proposées par Alibaba Cloud Model Studio ; l’accès au modèle utilise un point de terminaison de la région de Tokyo, au Japon. La région où se trouve ce point de terminaison ne signifie pas que toutes les données des utilisateurs sont traitées uniquement au Japon et ne remplace pas la vérification des accords de service effectivement applicables, des journaux du prestataire, des contrôles relatifs à l’entraînement, des paramètres de conservation et des obligations liées aux transferts transfrontaliers. OpenAI Codex participe à la constitution du corpus de connaissances, au développement des fonctionnalités, à la conception des interactions et à l’amélioration continue ; cela ne lui donne pas automatiquement accès aux données de conversation des utilisateurs et ne signifie pas qu’il a entraîné le modèle de base Qwen. Les contenus saisis, le contexte, les journaux de service, la conservation et les contrôles relatifs à l’entraînement sont régis par la « Politique de confidentialité DAWNBLOOM » en vigueur, les informations spécifiques applicables et les accords de service effectivement applicables. La notice de confidentialité propre à l’IA est encore en cours de vérification ; les présentes conditions ne remplacent pas la confirmation des faits relatifs au traitement des données. Aucun accès au modèle concerné ni aucun traitement des données personnelles concernées n’est ouvert avant l’accomplissement des démarches nécessaires d’information, d’autorisation et de vérification de sécurité.</w:t>
      </w:r>
    </w:p>
    <w:p>
      <w:pPr>
        <w:pStyle w:val="Heading1"/>
        <w:keepLines w:val="0"/>
      </w:pPr>
      <w:r>
        <w:rPr>
          <w:rFonts w:ascii="Noto Sans" w:hAnsi="Noto Sans" w:eastAsia="Noto Sans TC" w:cs="Noto Sans"/>
          <w:b w:val="0"/>
        </w:rPr>
        <w:t>11. Disponibilité, incidents et ajustements du service</w:t>
      </w:r>
    </w:p>
    <w:p>
      <w:pPr>
        <w:keepLines w:val="0"/>
      </w:pPr>
      <w:r>
        <w:rPr>
          <w:rFonts w:ascii="Noto Sans" w:hAnsi="Noto Sans" w:eastAsia="Noto Sans TC" w:cs="Noto Sans"/>
          <w:b w:val="0"/>
        </w:rPr>
        <w:t>Les fonctionnalités effectivement disponibles sont celles accessibles par les points d’entrée ouverts et correspondent à l’état officiel du service. La maintenance, les pannes, les incidents de sécurité, les contraintes de capacité ou les incidents chez les fournisseurs peuvent limiter certains services ; nous intervenons dans la mesure nécessaire et signalons les changements importants par des moyens appropriés. L’arrêt des requêtes adressées au modèle ne vaut pas suppression du compte ; les droits acquis au titre d’achats et les voies de recours prévues par la loi ne deviennent pas automatiquement caducs du fait de restrictions des fonctionnalités d’IA.</w:t>
      </w:r>
    </w:p>
    <w:p>
      <w:pPr>
        <w:pStyle w:val="Heading1"/>
        <w:keepLines w:val="0"/>
      </w:pPr>
      <w:r>
        <w:rPr>
          <w:rFonts w:ascii="Noto Sans" w:hAnsi="Noto Sans" w:eastAsia="Noto Sans TC" w:cs="Noto Sans"/>
          <w:b w:val="0"/>
        </w:rPr>
        <w:t>12. Traitement des infractions, recours et corrections</w:t>
      </w:r>
    </w:p>
    <w:p>
      <w:pPr>
        <w:keepLines w:val="0"/>
      </w:pPr>
      <w:r>
        <w:rPr>
          <w:rFonts w:ascii="Noto Sans" w:hAnsi="Noto Sans" w:eastAsia="Noto Sans TC" w:cs="Noto Sans"/>
          <w:b w:val="0"/>
        </w:rPr>
        <w:t>Selon les risques constatés, nous pouvons limiter le débit des requêtes, suspendre les fonctionnalités intelligentes concernées ou appliquer les mesures prévues par le code de conduite des joueurs, tout en proposant une voie de recours officielle. Les utilisateurs peuvent demander une correction en fournissant la réponse concernée, la date et l’heure de la question et les éléments nécessaires à la vérification ; veuillez masquer les données personnelles sans rapport avec la demande. Une réponse de l’IA ne constitue pas à elle seule une décision de sanction.</w:t>
      </w:r>
    </w:p>
    <w:p>
      <w:pPr>
        <w:pStyle w:val="Heading1"/>
        <w:keepLines w:val="0"/>
      </w:pPr>
      <w:r>
        <w:rPr>
          <w:rFonts w:ascii="Noto Sans" w:hAnsi="Noto Sans" w:eastAsia="Noto Sans TC" w:cs="Noto Sans"/>
          <w:b w:val="0"/>
        </w:rPr>
        <w:t>13. Cessation d’utilisation et droits relatifs aux données</w:t>
      </w:r>
    </w:p>
    <w:p>
      <w:pPr>
        <w:keepLines w:val="0"/>
      </w:pPr>
      <w:r>
        <w:rPr>
          <w:rFonts w:ascii="Noto Sans" w:hAnsi="Noto Sans" w:eastAsia="Noto Sans TC" w:cs="Noto Sans"/>
          <w:b w:val="0"/>
        </w:rPr>
        <w:t xml:space="preserve">Les utilisateurs peuvent cesser de converser, retirer les consentements révocables en vertu de la loi, effacer leur historique local de conversation et adresser des demandes d’accès, de rectification, d’effacement, de limitation du traitement ou des réclamations à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ou au service client officiel. L’effacement de l’historique local ne supprime pas automatiquement les journaux de service, les tickets de service ou les données détenues par des tiers qui sont conservés conformément à la loi ; leur traitement ultérieur dépend des catégories réelles de données, des obligations légales, des besoins de sécurité et des litiges non résolus, sans porter atteinte aux droits existants. La cessation d’utilisation ne rend pas caducs les réclamations, remboursements, demandes relatives à la confidentialité ou recours légaux existants.</w:t>
      </w:r>
    </w:p>
    <w:p>
      <w:pPr>
        <w:pStyle w:val="Heading1"/>
        <w:keepLines w:val="0"/>
      </w:pPr>
      <w:r>
        <w:rPr>
          <w:rFonts w:ascii="Noto Sans" w:hAnsi="Noto Sans" w:eastAsia="Noto Sans TC" w:cs="Noto Sans"/>
          <w:b w:val="0"/>
        </w:rPr>
        <w:t>14. Mises à jour, réclamations et contact</w:t>
      </w:r>
    </w:p>
    <w:p>
      <w:pPr>
        <w:keepLines w:val="0"/>
      </w:pPr>
      <w:r>
        <w:rPr>
          <w:rFonts w:ascii="Noto Sans" w:hAnsi="Noto Sans" w:eastAsia="Noto Sans TC" w:cs="Noto Sans"/>
          <w:b w:val="0"/>
        </w:rPr>
        <w:t xml:space="preserve">Les modifications importantes des conditions ou des traitements sont notifiées conformément au droit applicable et font l’objet des procédures nécessaires ; elles ne réduisent pas rétroactivement les droits légaux déjà acquis. Questions juridiques et droits relatifs aux données :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 service client et corrections :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 incidents de sécurité :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L’adresse légale de contact reste celle indiquée dans les informations juridiques officielles.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d’utilisation de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