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Términos de Uso de Productos y Servicios DAWNBLOOM</w:t>
      </w:r>
    </w:p>
    <w:p>
      <w:pPr>
        <w:keepLines w:val="0"/>
      </w:pPr>
      <w:r>
        <w:rPr>
          <w:rFonts w:ascii="Noto Sans" w:hAnsi="Noto Sans" w:eastAsia="Arial Unicode MS" w:cs="Noto Sans"/>
          <w:b w:val="0"/>
        </w:rPr>
        <w:t>Términos de uso de productos y servicios · Versión oficial en inglés</w:t>
      </w:r>
    </w:p>
    <w:p>
      <w:pPr>
        <w:keepLines w:val="0"/>
      </w:pPr>
      <w:r>
        <w:rPr>
          <w:rFonts w:ascii="Noto Sans" w:hAnsi="Noto Sans" w:eastAsia="Arial Unicode MS" w:cs="Noto Sans"/>
          <w:b w:val="0"/>
        </w:rPr>
        <w:t>Versión: V8</w:t>
      </w:r>
    </w:p>
    <w:p>
      <w:pPr>
        <w:keepLines w:val="0"/>
      </w:pPr>
      <w:r>
        <w:rPr>
          <w:rFonts w:ascii="Noto Sans" w:hAnsi="Noto Sans" w:eastAsia="Arial Unicode MS" w:cs="Noto Sans"/>
          <w:b w:val="0"/>
        </w:rPr>
        <w:t>Fecha de entrada en vigor: 10 de octubre de 2026</w:t>
      </w:r>
    </w:p>
    <w:p>
      <w:pPr>
        <w:keepLines w:val="0"/>
      </w:pPr>
      <w:r>
        <w:rPr>
          <w:rFonts w:ascii="Noto Sans" w:hAnsi="Noto Sans" w:eastAsia="Arial Unicode MS" w:cs="Noto Sans"/>
          <w:b w:val="0"/>
        </w:rPr>
        <w:t>Fecha de actualización: 10 de octubre de 2026</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Servicios aplicables: sitio web oficial de DAWNBLOOM, juego, seis aplicaciones, cuenta unificada y DAWNBLOOM Community</w:t>
      </w:r>
    </w:p>
    <w:p>
      <w:pPr>
        <w:pStyle w:val="Heading1"/>
        <w:keepLines w:val="0"/>
      </w:pPr>
      <w:r>
        <w:rPr>
          <w:rFonts w:ascii="Noto Sans" w:hAnsi="Noto Sans" w:eastAsia="Arial Unicode MS" w:cs="Noto Sans"/>
          <w:b w:val="0"/>
        </w:rPr>
        <w:t>Relación de la Información Publicada y Documentos</w:t>
      </w:r>
    </w:p>
    <w:p>
      <w:pPr>
        <w:keepLines w:val="0"/>
      </w:pPr>
      <w:r>
        <w:rPr>
          <w:rFonts w:ascii="Noto Sans" w:hAnsi="Noto Sans" w:eastAsia="Arial Unicode MS" w:cs="Noto Sans"/>
          <w:b w:val="0"/>
        </w:rPr>
        <w:t xml:space="preserve">Sitio web oficial: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Centro de atención al cliente: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Estos términos se aplican a los usuarios del sitio web de DAWNBLOOM, la cuenta compartida, el juego, las seis aplicaciones, la DAWNBLOOM Community y los servicios relacionados. Consulte cada página de producto oficial para conocer la disponibilidad y las características reales.</w:t>
      </w:r>
    </w:p>
    <w:p>
      <w:pPr>
        <w:keepLines w:val="0"/>
      </w:pPr>
      <w:r>
        <w:rPr>
          <w:rFonts w:ascii="Noto Sans" w:hAnsi="Noto Sans" w:eastAsia="Arial Unicode MS" w:cs="Noto Sans"/>
          <w:b w:val="0"/>
        </w:rPr>
        <w:t>Estos términos, junto con la Política de Privacidad, la Política de Reglas del Jugador y Aplicación, los Términos de Venta y Reembolso y cualquier regla específica publicada en las páginas de productos o actividades, constituyen las reglas rectoras para los servicios relacionados. Cuando una regla específica establezca una disposición más detallada sobre un asunto particular, dicha regla específica prevalecerá; ninguna cláusula excluirá ni limitará los derechos legales estatutarios de los usuarios garantizados por la ley aplicable y que no pueden ser renunciados.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Principio de lanzamiento en tres idiomas</w:t>
              <w:br/>
              <w:t>El sitio web oficial ofrece opciones de interfaz en chino, inglés y japonés. Durante el lanzamiento multilingüe oficial, cada versión lingüística deberá transmitir las mismas reglas sustantivas. En caso de ambigüedad en la traducción, prevalecerán la versión realmente utilizada y confirmada por el usuario, el contenido mostrado en la página de transacción en ese momento y los requisitos legales obligatorios aplicables. El operador corregirá rápidamente cualquier discrepancia obvia de traducción.</w:t>
            </w:r>
          </w:p>
        </w:tc>
      </w:tr>
    </w:tbl>
    <w:p>
      <w:pPr>
        <w:spacing w:after="40"/>
      </w:pPr>
    </w:p>
    <w:p>
      <w:pPr>
        <w:pStyle w:val="Heading1"/>
        <w:keepLines w:val="0"/>
      </w:pPr>
      <w:r>
        <w:rPr>
          <w:rFonts w:ascii="Noto Sans" w:hAnsi="Noto Sans" w:eastAsia="Arial Unicode MS" w:cs="Noto Sans"/>
          <w:b w:val="0"/>
        </w:rPr>
        <w:t>Resumen General</w:t>
      </w:r>
    </w:p>
    <w:p>
      <w:pPr>
        <w:pStyle w:val="ListBullet"/>
        <w:keepLines w:val="0"/>
      </w:pPr>
      <w:r>
        <w:rPr>
          <w:rFonts w:ascii="Noto Sans" w:hAnsi="Noto Sans" w:eastAsia="Arial Unicode MS" w:cs="Noto Sans"/>
          <w:b w:val="0"/>
        </w:rPr>
        <w:t>Interoperabilidad entre cuentas del sitio web y del juego; las cuentas de juego existentes pueden iniciar sesión directamente en el sitio web oficial y en la plataforma "DAWNBLOOM Community".</w:t>
      </w:r>
    </w:p>
    <w:p>
      <w:pPr>
        <w:pStyle w:val="ListBullet"/>
        <w:keepLines w:val="0"/>
      </w:pPr>
      <w:r>
        <w:rPr>
          <w:rFonts w:ascii="Noto Sans" w:hAnsi="Noto Sans" w:eastAsia="Arial Unicode MS" w:cs="Noto Sans"/>
          <w:b w:val="0"/>
        </w:rPr>
        <w:t>La plataforma "DAWNBLOOM Community" permite a los usuarios publicar, comentar, compartir imágenes y publicar guías u otro contenido generado por jugadores, siempre que dicho contenido cumpla con las leyes, las Reglas del Jugador y estos Términos.</w:t>
      </w:r>
    </w:p>
    <w:p>
      <w:pPr>
        <w:pStyle w:val="ListBullet"/>
        <w:keepLines w:val="0"/>
      </w:pPr>
      <w:r>
        <w:rPr>
          <w:rFonts w:ascii="Noto Sans" w:hAnsi="Noto Sans" w:eastAsia="Arial Unicode MS" w:cs="Noto Sans"/>
          <w:b w:val="0"/>
        </w:rPr>
        <w:t>Los jugadores conservan todos los derechos de propiedad sobre su contenido original; con fines de exhibición, traducción, revisión y operaciones comunitarias, usted otorga a DAWNBLOOM una licencia necesaria, limitada y no exclusiva para utilizar dicho contenido.</w:t>
      </w:r>
    </w:p>
    <w:p>
      <w:pPr>
        <w:pStyle w:val="ListBullet"/>
        <w:keepLines w:val="0"/>
      </w:pPr>
      <w:r>
        <w:rPr>
          <w:rFonts w:ascii="Noto Sans" w:hAnsi="Noto Sans" w:eastAsia="Arial Unicode MS" w:cs="Noto Sans"/>
          <w:b w:val="0"/>
        </w:rPr>
        <w:t>Las versiones para Android, Windows y macOS estarán disponibles oficialmente para descargar según el estado real de lanzamiento en el sitio web oficial; las versiones para iOS redirigirán a la tienda App Store de la región correspondiente (China/Inglés/Japonés) según se indique en las páginas del sitio web en chino/inglés/japonés; el acceso a Steam redirigirá a la tienda de Steam.</w:t>
      </w:r>
    </w:p>
    <w:p>
      <w:pPr>
        <w:pStyle w:val="ListBullet"/>
        <w:keepLines w:val="0"/>
      </w:pPr>
      <w:r>
        <w:rPr>
          <w:rFonts w:ascii="Noto Sans" w:hAnsi="Noto Sans" w:eastAsia="Arial Unicode MS" w:cs="Noto Sans"/>
          <w:b w:val="0"/>
        </w:rPr>
        <w:t>El sitio web oficial no ofrece recargas generales de saldo de cuenta; la tienda oficial vende directamente bienes digitales específicos, incluidas cajas de tesoro con contenido aleatorio y fijo, que se entregan a la cuenta de juego correspondiente tras la compra.</w:t>
      </w:r>
    </w:p>
    <w:p>
      <w:pPr>
        <w:pStyle w:val="ListBullet"/>
        <w:keepLines w:val="0"/>
      </w:pPr>
      <w:r>
        <w:rPr>
          <w:rFonts w:ascii="Noto Sans" w:hAnsi="Noto Sans" w:eastAsia="Arial Unicode MS" w:cs="Noto Sans"/>
          <w:b w:val="0"/>
        </w:rPr>
        <w:t>Las noticias oficiales, anuncios, capturas de pantalla promocionales públicas e imágenes promocionales publicadas en el sitio web pueden republicarse libremente sin atribución, siempre que no se utilicen para suplantar fuentes oficiales, crear sitios web oficiales falsos o servidores privados, engañar a los usuarios o empaquetar materiales protegidos para su reventa.</w:t>
      </w:r>
    </w:p>
    <w:p>
      <w:pPr>
        <w:pStyle w:val="ListBullet"/>
        <w:keepLines w:val="0"/>
      </w:pPr>
      <w:r>
        <w:rPr>
          <w:rFonts w:ascii="Noto Sans" w:hAnsi="Noto Sans" w:eastAsia="Arial Unicode MS" w:cs="Noto Sans"/>
          <w:b w:val="0"/>
        </w:rPr>
        <w:t>En caso de violaciones, infracciones, fraude, ataques maliciosos, software de trucos o actividades del mercado negro, podemos tomar acciones legales y aplicar medidas de acuerdo con la "Reglas del jugador y política de aplicación," incluyendo la eliminación de contenido, la restricción de funciones del foro, el aislamiento de personajes o cuentas de juego, y el congelamiento o recuperación de artículos virtuales.</w:t>
      </w:r>
    </w:p>
    <w:p>
      <w:pPr>
        <w:pStyle w:val="ListBullet"/>
        <w:keepLines w:val="0"/>
      </w:pPr>
      <w:r>
        <w:rPr>
          <w:rFonts w:ascii="Noto Sans" w:hAnsi="Noto Sans" w:eastAsia="Arial Unicode MS" w:cs="Noto Sans"/>
          <w:b w:val="0"/>
        </w:rPr>
        <w:t>No ejercemos el "derecho de interpretación final" para excluir los derechos de los consumidores; las exclusiones de responsabilidad del servicio y las limitaciones de responsabilidad solo se aplicarán dentro del alcance permitido por la ley aplicable.</w:t>
      </w:r>
    </w:p>
    <w:p>
      <w:pPr>
        <w:pStyle w:val="Heading1"/>
        <w:keepLines w:val="0"/>
      </w:pPr>
      <w:r>
        <w:rPr>
          <w:rFonts w:ascii="Noto Sans" w:hAnsi="Noto Sans" w:eastAsia="Arial Unicode MS" w:cs="Noto Sans"/>
          <w:b w:val="0"/>
        </w:rPr>
        <w:t>1. Aceptación de Términos, Requisitos de Edad y Ámbito de Aplicación</w:t>
      </w:r>
    </w:p>
    <w:p>
      <w:pPr>
        <w:keepLines w:val="0"/>
      </w:pPr>
      <w:r>
        <w:rPr>
          <w:rFonts w:ascii="Noto Sans" w:hAnsi="Noto Sans" w:eastAsia="Arial Unicode MS" w:cs="Noto Sans"/>
          <w:b w:val="0"/>
        </w:rPr>
        <w:t>Al acceder, registrarse, iniciar sesión o continuar usando dawnbloom.net y sus funciones de sitio web oficial, usted acepta quedar vinculado por estos términos. Cuando cualquier función requiera una confirmación adicional mediante clic, selección de casilla de verificación o aceptación de reglas específicas, dicha confirmación y reglas específicas entrarán en vigor simultáneamente.</w:t>
      </w:r>
    </w:p>
    <w:p>
      <w:pPr>
        <w:keepLines w:val="0"/>
      </w:pPr>
      <w:r>
        <w:rPr>
          <w:rFonts w:ascii="Noto Sans" w:hAnsi="Noto Sans" w:eastAsia="Arial Unicode MS" w:cs="Noto Sans"/>
          <w:b w:val="0"/>
        </w:rPr>
        <w:t>Estos términos también rigen el juego del sitio web, seis aplicaciones independientes, la Cuenta DAWNBLOOM, la DAWNBLOOM Community y la Guía de Dawnbloom dentro de sus límites relevantes. Cada página de producto indica disponibilidad, requisitos de inicio de sesión y características actuales; su inclusión aquí no significa que una característica no lanzada esté disponible.</w:t>
      </w:r>
    </w:p>
    <w:p>
      <w:pPr>
        <w:keepLines w:val="0"/>
      </w:pPr>
      <w:r>
        <w:rPr>
          <w:rFonts w:ascii="Noto Sans" w:hAnsi="Noto Sans" w:eastAsia="Arial Unicode MS" w:cs="Noto Sans"/>
          <w:b w:val="0"/>
        </w:rPr>
        <w:t>El registro de cuentas de juego DAWNBLOOM, el cliente del juego, la participación en la DAWNBLOOM Community, las compras en la tienda oficial y otros servicios expresamente dependientes de una cuenta de juego requieren actualmente que los usuarios tengan 18 años o más. La visualización de páginas de información pública, incluida la página del producto DAWNBLOOM Browser, no está sujeta a la barrera de edad del juego. El uso del software del navegador está regido por los Términos de Servicio de DAWNBLOOM Browser y la Política de privacidad unificada de DAWNBLOOM, no por la regla universal de 18+ del juego.</w:t>
      </w:r>
    </w:p>
    <w:p>
      <w:pPr>
        <w:keepLines w:val="0"/>
      </w:pPr>
      <w:r>
        <w:rPr>
          <w:rFonts w:ascii="Noto Sans" w:hAnsi="Noto Sans" w:eastAsia="Arial Unicode MS" w:cs="Noto Sans"/>
          <w:b w:val="0"/>
        </w:rPr>
        <w:t xml:space="preserve">Estos Términos cubren la página de inicio, el registro e inicio de sesión, los controles de cuenta, las descargas de juegos, noticias, avisos, guías, Soporte, la Hada, la DAWNBLOOM Community, la tienda del sitio web y los servicios web oficiales controlados por el operador. Las entradas oficiales en coreano dawnbloom.kr y www.dawnbloom.kr utilizan redirecciones HTTPS 301 a </w:t>
      </w:r>
      <w:hyperlink r:id="rId13">
        <w:r>
          <w:rPr>
            <w:rFonts w:ascii="Noto Sans" w:hAnsi="Noto Sans" w:eastAsia="Arial Unicode MS"/>
            <w:b w:val="0"/>
          </w:rPr>
          <w:t xml:space="preserve">https://dawnbloom.net/kr/.</w:t>
        </w:r>
      </w:hyperlink>
      <w:r>
        <w:rPr>
          <w:rFonts w:ascii="Noto Sans" w:hAnsi="Noto Sans" w:eastAsia="Arial Unicode MS" w:cs="Noto Sans"/>
          <w:b w:val="0"/>
        </w:rPr>
        <w:t xml:space="preserve"> Los cambios de DNS pueden tardar en propagarse. Utilizan el sitio web unificado y no crean un sitio web, cuenta, base de datos o servidor de juego coreano separado. El único sitio global es </w:t>
      </w:r>
      <w:hyperlink r:id="rId11">
        <w:r>
          <w:rPr>
            <w:rFonts w:ascii="Noto Sans" w:hAnsi="Noto Sans" w:eastAsia="Arial Unicode MS"/>
            <w:b w:val="0"/>
          </w:rPr>
          <w:t xml:space="preserve">https://dawnbloom.net</w:t>
        </w:r>
      </w:hyperlink>
      <w:r>
        <w:rPr>
          <w:rFonts w:ascii="Noto Sans" w:hAnsi="Noto Sans" w:eastAsia="Arial Unicode MS" w:cs="Noto Sans"/>
          <w:b w:val="0"/>
        </w:rPr>
        <w:t xml:space="preserve">; los subdominios de servicios oficiales siguen sus listados publicados. </w:t>
      </w:r>
      <w:hyperlink r:id="rId14">
        <w:r>
          <w:rPr>
            <w:rFonts w:ascii="Noto Sans" w:hAnsi="Noto Sans" w:eastAsia="Arial Unicode MS"/>
            <w:b w:val="0"/>
          </w:rPr>
          <w:t xml:space="preserve">https://dawnbloom.com.cn</w:t>
        </w:r>
      </w:hyperlink>
      <w:r>
        <w:rPr>
          <w:rFonts w:ascii="Noto Sans" w:hAnsi="Noto Sans" w:eastAsia="Arial Unicode MS" w:cs="Noto Sans"/>
          <w:b w:val="0"/>
        </w:rPr>
        <w:t xml:space="preserve"> y su entrada www utilizan redirecciones HTTPS 301 a </w:t>
      </w:r>
      <w:hyperlink r:id="rId15">
        <w:r>
          <w:rPr>
            <w:rFonts w:ascii="Noto Sans" w:hAnsi="Noto Sans" w:eastAsia="Arial Unicode MS"/>
            <w:b w:val="0"/>
          </w:rPr>
          <w:t xml:space="preserve">https://dawnbloom.net/zh/.</w:t>
        </w:r>
      </w:hyperlink>
      <w:r>
        <w:rPr>
          <w:rFonts w:ascii="Noto Sans" w:hAnsi="Noto Sans" w:eastAsia="Arial Unicode MS" w:cs="Noto Sans"/>
          <w:b w:val="0"/>
        </w:rPr>
        <w:t xml:space="preserve"> </w:t>
      </w:r>
      <w:hyperlink r:id="rId16">
        <w:r>
          <w:rPr>
            <w:rFonts w:ascii="Noto Sans" w:hAnsi="Noto Sans" w:eastAsia="Arial Unicode MS"/>
            <w:b w:val="0"/>
          </w:rPr>
          <w:t xml:space="preserve">https://dawnbloom.jp</w:t>
        </w:r>
      </w:hyperlink>
      <w:r>
        <w:rPr>
          <w:rFonts w:ascii="Noto Sans" w:hAnsi="Noto Sans" w:eastAsia="Arial Unicode MS" w:cs="Noto Sans"/>
          <w:b w:val="0"/>
        </w:rPr>
        <w:t xml:space="preserve"> y su entrada www utilizan redirecciones HTTPS 301 a </w:t>
      </w:r>
      <w:hyperlink r:id="rId17">
        <w:r>
          <w:rPr>
            <w:rFonts w:ascii="Noto Sans" w:hAnsi="Noto Sans" w:eastAsia="Arial Unicode MS"/>
            <w:b w:val="0"/>
          </w:rPr>
          <w:t xml:space="preserve">https://dawnbloom.net/ja/.</w:t>
        </w:r>
      </w:hyperlink>
      <w:r>
        <w:rPr>
          <w:rFonts w:ascii="Noto Sans" w:hAnsi="Noto Sans" w:eastAsia="Arial Unicode MS" w:cs="Noto Sans"/>
          <w:b w:val="0"/>
        </w:rPr>
        <w:t xml:space="preserve"> Ambas entradas regionales están abiertas. Estas y las entradas de protección de marca existentes enumeradas en el aviso antifraude no crean negocios separados de sitio, cuenta, pago o descarga, ni base de datos. No migran cuentas ni datos de jugadores ni cambian la elegibilidad regional. Los sitios web de terceros, tiendas, proveedores de pago y plataformas sociales operan de forma independiente.</w:t>
      </w:r>
    </w:p>
    <w:p>
      <w:pPr>
        <w:pStyle w:val="Heading1"/>
        <w:keepLines w:val="0"/>
      </w:pPr>
      <w:r>
        <w:rPr>
          <w:rFonts w:ascii="Noto Sans" w:hAnsi="Noto Sans" w:eastAsia="Arial Unicode MS" w:cs="Noto Sans"/>
          <w:b w:val="0"/>
        </w:rPr>
        <w:t>2. Definición de Términos</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Terminología</w:t>
            </w:r>
          </w:p>
        </w:tc>
        <w:tc>
          <w:tcPr>
            <w:tcW w:type="dxa" w:w="4873"/>
            <w:vAlign w:val="center"/>
            <w:shd w:fill="DCE8F7"/>
          </w:tcPr>
          <w:p>
            <w:pPr>
              <w:keepNext/>
              <w:spacing w:after="40"/>
            </w:pPr>
            <w:r>
              <w:rPr>
                <w:rFonts w:ascii="Noto Sans" w:hAnsi="Noto Sans" w:eastAsia="Arial Unicode MS" w:cs="Noto Sans"/>
                <w:b/>
                <w:sz w:val="17"/>
              </w:rPr>
              <w:t>Significado</w:t>
            </w:r>
          </w:p>
        </w:tc>
      </w:tr>
      <w:tr>
        <w:trPr>
          <w:cantSplit/>
        </w:trPr>
        <w:tc>
          <w:tcPr>
            <w:tcW w:type="dxa" w:w="4873"/>
            <w:vAlign w:val="center"/>
          </w:tcPr>
          <w:p>
            <w:pPr>
              <w:spacing w:after="40"/>
            </w:pPr>
            <w:r>
              <w:rPr>
                <w:rFonts w:ascii="Noto Sans" w:hAnsi="Noto Sans" w:eastAsia="Arial Unicode MS" w:cs="Noto Sans"/>
                <w:sz w:val="17"/>
              </w:rPr>
              <w:t>"Sitio Web Oficial"</w:t>
            </w:r>
          </w:p>
        </w:tc>
        <w:tc>
          <w:tcPr>
            <w:tcW w:type="dxa" w:w="4873"/>
            <w:vAlign w:val="center"/>
          </w:tcPr>
          <w:p>
            <w:pPr>
              <w:spacing w:after="40"/>
            </w:pPr>
            <w:r>
              <w:rPr>
                <w:rFonts w:ascii="Noto Sans" w:hAnsi="Noto Sans" w:eastAsia="Arial Unicode MS" w:cs="Noto Sans"/>
                <w:sz w:val="17"/>
              </w:rPr>
              <w:t>dawnbloom.net y cualquier subdominio o servicio web oficial explícitamente listado por el operador.</w:t>
            </w:r>
          </w:p>
        </w:tc>
      </w:tr>
      <w:tr>
        <w:trPr>
          <w:cantSplit/>
        </w:trPr>
        <w:tc>
          <w:tcPr>
            <w:tcW w:type="dxa" w:w="4873"/>
            <w:vAlign w:val="center"/>
          </w:tcPr>
          <w:p>
            <w:pPr>
              <w:spacing w:after="40"/>
            </w:pPr>
            <w:r>
              <w:rPr>
                <w:rFonts w:ascii="Noto Sans" w:hAnsi="Noto Sans" w:eastAsia="Arial Unicode MS" w:cs="Noto Sans"/>
                <w:sz w:val="17"/>
              </w:rPr>
              <w:t>"Cuenta DAWNBLOOM / Cuenta de Juego"</w:t>
            </w:r>
          </w:p>
        </w:tc>
        <w:tc>
          <w:tcPr>
            <w:tcW w:type="dxa" w:w="4873"/>
            <w:vAlign w:val="center"/>
          </w:tcPr>
          <w:p>
            <w:pPr>
              <w:spacing w:after="40"/>
            </w:pPr>
            <w:r>
              <w:rPr>
                <w:rFonts w:ascii="Noto Sans" w:hAnsi="Noto Sans" w:eastAsia="Arial Unicode MS" w:cs="Noto Sans"/>
                <w:sz w:val="17"/>
              </w:rPr>
              <w:t>Un sistema de cuentas unificado utilizado para el juego DAWNBLOOM y los servicios del sitio web oficial.</w:t>
            </w:r>
          </w:p>
        </w:tc>
      </w:tr>
      <w:tr>
        <w:trPr>
          <w:cantSplit/>
        </w:trPr>
        <w:tc>
          <w:tcPr>
            <w:tcW w:type="dxa" w:w="4873"/>
            <w:vAlign w:val="center"/>
          </w:tcPr>
          <w:p>
            <w:pPr>
              <w:spacing w:after="40"/>
            </w:pPr>
            <w:r>
              <w:rPr>
                <w:rFonts w:ascii="Noto Sans" w:hAnsi="Noto Sans" w:eastAsia="Arial Unicode MS" w:cs="Noto Sans"/>
                <w:sz w:val="17"/>
              </w:rPr>
              <w:t>"DAWNBLOOM Community"</w:t>
            </w:r>
          </w:p>
        </w:tc>
        <w:tc>
          <w:tcPr>
            <w:tcW w:type="dxa" w:w="4873"/>
            <w:vAlign w:val="center"/>
          </w:tcPr>
          <w:p>
            <w:pPr>
              <w:spacing w:after="40"/>
            </w:pPr>
            <w:r>
              <w:rPr>
                <w:rFonts w:ascii="Noto Sans" w:hAnsi="Noto Sans" w:eastAsia="Arial Unicode MS" w:cs="Noto Sans"/>
                <w:sz w:val="17"/>
              </w:rPr>
              <w:t>El foro comunitario oficial, publicación, comentarios, respuestas y funciones comunitarias relacionadas en el sitio web DAWNBLOOM.</w:t>
            </w:r>
          </w:p>
        </w:tc>
      </w:tr>
      <w:tr>
        <w:trPr>
          <w:cantSplit/>
        </w:trPr>
        <w:tc>
          <w:tcPr>
            <w:tcW w:type="dxa" w:w="4873"/>
            <w:vAlign w:val="center"/>
          </w:tcPr>
          <w:p>
            <w:pPr>
              <w:spacing w:after="40"/>
            </w:pPr>
            <w:r>
              <w:rPr>
                <w:rFonts w:ascii="Noto Sans" w:hAnsi="Noto Sans" w:eastAsia="Arial Unicode MS" w:cs="Noto Sans"/>
                <w:sz w:val="17"/>
              </w:rPr>
              <w:t>"Contenido del Jugador / Contenido Generado por el Usuario (CGU)"</w:t>
            </w:r>
          </w:p>
        </w:tc>
        <w:tc>
          <w:tcPr>
            <w:tcW w:type="dxa" w:w="4873"/>
            <w:vAlign w:val="center"/>
          </w:tcPr>
          <w:p>
            <w:pPr>
              <w:spacing w:after="40"/>
            </w:pPr>
            <w:r>
              <w:rPr>
                <w:rFonts w:ascii="Noto Sans" w:hAnsi="Noto Sans" w:eastAsia="Arial Unicode MS" w:cs="Noto Sans"/>
                <w:sz w:val="17"/>
              </w:rPr>
              <w:t>Contenido activamente cargado, publicado o enviado por jugadores, incluyendo texto, imágenes, guías, comentarios, capturas de pantalla y archivos adjuntos.</w:t>
            </w:r>
          </w:p>
        </w:tc>
      </w:tr>
      <w:tr>
        <w:trPr>
          <w:cantSplit/>
        </w:trPr>
        <w:tc>
          <w:tcPr>
            <w:tcW w:type="dxa" w:w="4873"/>
            <w:vAlign w:val="center"/>
          </w:tcPr>
          <w:p>
            <w:pPr>
              <w:spacing w:after="40"/>
            </w:pPr>
            <w:r>
              <w:rPr>
                <w:rFonts w:ascii="Noto Sans" w:hAnsi="Noto Sans" w:eastAsia="Arial Unicode MS" w:cs="Noto Sans"/>
                <w:sz w:val="17"/>
              </w:rPr>
              <w:t>"Bienes Digitales"</w:t>
            </w:r>
          </w:p>
        </w:tc>
        <w:tc>
          <w:tcPr>
            <w:tcW w:type="dxa" w:w="4873"/>
            <w:vAlign w:val="center"/>
          </w:tcPr>
          <w:p>
            <w:pPr>
              <w:spacing w:after="40"/>
            </w:pPr>
            <w:r>
              <w:rPr>
                <w:rFonts w:ascii="Noto Sans" w:hAnsi="Noto Sans" w:eastAsia="Arial Unicode MS" w:cs="Noto Sans"/>
                <w:sz w:val="17"/>
              </w:rPr>
              <w:t>Bienes virtuales comprados a través de la tienda del sitio web oficial u otros canales oficiales y utilizados dentro del juego, incluyendo cofres específicos, paquetes de regalo u otro contenido digital que se proporcionará en el futuro de acuerdo con las leyes aplicables.</w:t>
            </w:r>
          </w:p>
        </w:tc>
      </w:tr>
      <w:tr>
        <w:trPr>
          <w:cantSplit/>
        </w:trPr>
        <w:tc>
          <w:tcPr>
            <w:tcW w:type="dxa" w:w="4873"/>
            <w:vAlign w:val="center"/>
          </w:tcPr>
          <w:p>
            <w:pPr>
              <w:spacing w:after="40"/>
            </w:pPr>
            <w:r>
              <w:rPr>
                <w:rFonts w:ascii="Noto Sans" w:hAnsi="Noto Sans" w:eastAsia="Arial Unicode MS" w:cs="Noto Sans"/>
                <w:sz w:val="17"/>
              </w:rPr>
              <w:t>"Cofre Aleatorio"</w:t>
            </w:r>
          </w:p>
        </w:tc>
        <w:tc>
          <w:tcPr>
            <w:tcW w:type="dxa" w:w="4873"/>
            <w:vAlign w:val="center"/>
          </w:tcPr>
          <w:p>
            <w:pPr>
              <w:spacing w:after="40"/>
            </w:pPr>
            <w:r>
              <w:rPr>
                <w:rFonts w:ascii="Noto Sans" w:hAnsi="Noto Sans" w:eastAsia="Arial Unicode MS" w:cs="Noto Sans"/>
                <w:sz w:val="17"/>
              </w:rPr>
              <w:t>Un bien digital que genera resultados aleatorios basados en el grupo de elementos y probabilidades claramente divulgados en la página del producto al abrirlo.</w:t>
            </w:r>
          </w:p>
        </w:tc>
      </w:tr>
      <w:tr>
        <w:trPr>
          <w:cantSplit/>
        </w:trPr>
        <w:tc>
          <w:tcPr>
            <w:tcW w:type="dxa" w:w="4873"/>
            <w:vAlign w:val="center"/>
          </w:tcPr>
          <w:p>
            <w:pPr>
              <w:spacing w:after="40"/>
            </w:pPr>
            <w:r>
              <w:rPr>
                <w:rFonts w:ascii="Noto Sans" w:hAnsi="Noto Sans" w:eastAsia="Arial Unicode MS" w:cs="Noto Sans"/>
                <w:sz w:val="17"/>
              </w:rPr>
              <w:t>"Cofre de Contenido Fijo"</w:t>
            </w:r>
          </w:p>
        </w:tc>
        <w:tc>
          <w:tcPr>
            <w:tcW w:type="dxa" w:w="4873"/>
            <w:vAlign w:val="center"/>
          </w:tcPr>
          <w:p>
            <w:pPr>
              <w:spacing w:after="40"/>
            </w:pPr>
            <w:r>
              <w:rPr>
                <w:rFonts w:ascii="Noto Sans" w:hAnsi="Noto Sans" w:eastAsia="Arial Unicode MS" w:cs="Noto Sans"/>
                <w:sz w:val="17"/>
              </w:rPr>
              <w:t>Un bien digital con todo el contenido explícitamente listado antes de la compra, donde el resultado al abrir o reclamar no es aleatorio.</w:t>
            </w:r>
          </w:p>
        </w:tc>
      </w:tr>
    </w:tbl>
    <w:p>
      <w:pPr>
        <w:spacing w:after="40"/>
      </w:pPr>
    </w:p>
    <w:p>
      <w:pPr>
        <w:pStyle w:val="Heading1"/>
        <w:keepLines w:val="0"/>
      </w:pPr>
      <w:r>
        <w:rPr>
          <w:rFonts w:ascii="Noto Sans" w:hAnsi="Noto Sans" w:eastAsia="Arial Unicode MS" w:cs="Noto Sans"/>
          <w:b w:val="0"/>
        </w:rPr>
        <w:t>3. Interoperabilidad entre el Sitio Web Oficial y las Cuentas de Juego</w:t>
      </w:r>
    </w:p>
    <w:p>
      <w:pPr>
        <w:keepLines w:val="0"/>
      </w:pPr>
      <w:r>
        <w:rPr>
          <w:rFonts w:ascii="Noto Sans" w:hAnsi="Noto Sans" w:eastAsia="Arial Unicode MS" w:cs="Noto Sans"/>
          <w:b w:val="0"/>
        </w:rPr>
        <w:t>El sitio web, el juego y DAWNBLOOM Community utilizan la misma Cuenta DAWNBLOOM. Tras la verificación requerida, las cuentas del sitio web pueden usarse en el juego, y las cuentas del juego en el sitio web. Las entradas de idiomas regionales no requieren un registro separado ni crean sistemas de cuentas chinos, japoneses o globales. La elección del idioma no cambia la región legal seleccionada por el usuario, los requisitos de edad ni la disponibilidad del servicio.</w:t>
      </w:r>
    </w:p>
    <w:p>
      <w:pPr>
        <w:keepLines w:val="0"/>
      </w:pPr>
      <w:r>
        <w:rPr>
          <w:rFonts w:ascii="Noto Sans" w:hAnsi="Noto Sans" w:eastAsia="Arial Unicode MS" w:cs="Noto Sans"/>
          <w:b w:val="0"/>
        </w:rPr>
        <w:t>El DAWNBLOOM Token protege la misma Cuenta de DAWNBLOOM y no crea un sistema de identidad separado. La navegación del Core Browser no requiere cuenta. Si otros productos ofrecen inicio de sesión o Light Sync depende de sus versiones publicadas. Una función de sincronización no lanzada no se vuelve disponible a través de estos términos; una vez ofrecida, solo procesa los datos que el usuario elige bajo la Política de privacidad.</w:t>
      </w:r>
    </w:p>
    <w:p>
      <w:pPr>
        <w:pStyle w:val="ListBullet"/>
        <w:keepLines w:val="0"/>
      </w:pPr>
      <w:r>
        <w:rPr>
          <w:rFonts w:ascii="Noto Sans" w:hAnsi="Noto Sans" w:eastAsia="Arial Unicode MS" w:cs="Noto Sans"/>
          <w:b w:val="0"/>
        </w:rPr>
        <w:t>Debe proporcionar información de registro verdadera, precisa y actualizada que sea capaz de recibir notificaciones necesarias, y debe gestionar de forma segura su contraseña, dirección de correo electrónico y cualquier credencial de inicio de sesión de terceros asociada con su cuenta.</w:t>
      </w:r>
    </w:p>
    <w:p>
      <w:pPr>
        <w:pStyle w:val="ListBullet"/>
        <w:keepLines w:val="0"/>
      </w:pPr>
      <w:r>
        <w:rPr>
          <w:rFonts w:ascii="Noto Sans" w:hAnsi="Noto Sans" w:eastAsia="Arial Unicode MS" w:cs="Noto Sans"/>
          <w:b w:val="0"/>
        </w:rPr>
        <w:t>No debes suplantar a otra persona, usar la cuenta de alguien sin autorización, ni obtener el control de la cuenta mediante engaño, robo, stuffing de credenciales o compartir de manera maliciosa.</w:t>
      </w:r>
    </w:p>
    <w:p>
      <w:pPr>
        <w:pStyle w:val="ListBullet"/>
        <w:keepLines w:val="0"/>
      </w:pPr>
      <w:r>
        <w:rPr>
          <w:rFonts w:ascii="Noto Sans" w:hAnsi="Noto Sans" w:eastAsia="Arial Unicode MS" w:cs="Noto Sans"/>
          <w:b w:val="0"/>
        </w:rPr>
        <w:t>Si se detectan inicios de sesión anómalos, robo de cuentas o operaciones no autorizadas, los usuarios deben presentar inmediatamente una queja a través del servicio de atención al cliente oficial. El operador puede implementar medidas de seguridad temporales para proteger la cuenta y los activos virtuales.</w:t>
      </w:r>
    </w:p>
    <w:p>
      <w:pPr>
        <w:pStyle w:val="ListBullet"/>
        <w:keepLines w:val="0"/>
      </w:pPr>
      <w:r>
        <w:rPr>
          <w:rFonts w:ascii="Noto Sans" w:hAnsi="Noto Sans" w:eastAsia="Arial Unicode MS" w:cs="Noto Sans"/>
          <w:b w:val="0"/>
        </w:rPr>
        <w:t>En China continental, publicar, comentar y utilizar servicios de juego en foros puede estar sujeto a requisitos de verificación de identidad real o de mayores según lo exigido por las leyes aplicables; el procesamiento de información personal estará regido por la "Política de privacidad".</w:t>
      </w:r>
    </w:p>
    <w:p>
      <w:pPr>
        <w:pStyle w:val="ListBullet"/>
        <w:keepLines w:val="0"/>
      </w:pPr>
      <w:r>
        <w:rPr>
          <w:rFonts w:ascii="Noto Sans" w:hAnsi="Noto Sans" w:eastAsia="Arial Unicode MS" w:cs="Noto Sans"/>
          <w:b w:val="0"/>
        </w:rPr>
        <w:t>Las violaciones de cuentas dentro del juego se manejarán principalmente de acuerdo con la "Reglas del jugador y política de aplicación". El juego no considera la «suspensión permanente de la cuenta» como la máxima penalización estándar; la máxima sanción en el juego es el aislamiento permanente (prisión). El sitio web/el foro se reserva el derecho de eliminar legalmente el contenido, borrar registros del foro, restringir funciones comunitarias o llevar a cabo medidas de disposición según lo requieran las autoridades autorizadas.</w:t>
      </w:r>
    </w:p>
    <w:p>
      <w:pPr>
        <w:pStyle w:val="Heading1"/>
        <w:keepLines w:val="0"/>
      </w:pPr>
      <w:r>
        <w:rPr>
          <w:rFonts w:ascii="Noto Sans" w:hAnsi="Noto Sans" w:eastAsia="Arial Unicode MS" w:cs="Noto Sans"/>
          <w:b w:val="0"/>
        </w:rPr>
        <w:t>4. "DAWNBLOOM Community" Foro y Términos de Uso de Comentarios</w:t>
      </w:r>
    </w:p>
    <w:p>
      <w:pPr>
        <w:keepLines w:val="0"/>
      </w:pPr>
      <w:r>
        <w:rPr>
          <w:rFonts w:ascii="Noto Sans" w:hAnsi="Noto Sans" w:eastAsia="Arial Unicode MS" w:cs="Noto Sans"/>
          <w:b w:val="0"/>
        </w:rPr>
        <w:t>La DAWNBLOOM Community es una plataforma comunitaria oficial proporcionada para los jugadores de DAWNBLOOM. Los usuarios pueden publicar, comentar, responder, subir imágenes, compartir guías y publicar otro contenido relacionado con el juego o la comunidad, según lo permitido por el sitio web.</w:t>
      </w:r>
    </w:p>
    <w:p>
      <w:pPr>
        <w:pStyle w:val="Heading1"/>
        <w:keepLines w:val="0"/>
      </w:pPr>
      <w:r>
        <w:rPr>
          <w:rFonts w:ascii="Noto Sans" w:hAnsi="Noto Sans" w:eastAsia="Arial Unicode MS" w:cs="Noto Sans"/>
          <w:b w:val="0"/>
        </w:rPr>
        <w:t>4.1 Lo Que Puede Hacer</w:t>
      </w:r>
    </w:p>
    <w:p>
      <w:pPr>
        <w:pStyle w:val="ListBullet"/>
        <w:keepLines w:val="0"/>
      </w:pPr>
      <w:r>
        <w:rPr>
          <w:rFonts w:ascii="Noto Sans" w:hAnsi="Noto Sans" w:eastAsia="Arial Unicode MS" w:cs="Noto Sans"/>
          <w:b w:val="0"/>
        </w:rPr>
        <w:t>Compartir experiencias normales de juego, guías, capturas de pantalla, creaciones, sugerencias, informes de errores y discusiones de jugadores;</w:t>
      </w:r>
    </w:p>
    <w:p>
      <w:pPr>
        <w:pStyle w:val="ListBullet"/>
        <w:keepLines w:val="0"/>
      </w:pPr>
      <w:r>
        <w:rPr>
          <w:rFonts w:ascii="Noto Sans" w:hAnsi="Noto Sans" w:eastAsia="Arial Unicode MS" w:cs="Noto Sans"/>
          <w:b w:val="0"/>
        </w:rPr>
        <w:t>Participar en críticas, discusiones, juegos de rol, intercambio de experiencias comerciales y expresión de opiniones, siempre que se respeten los derechos de los demás y se cumplan las normas de la comunidad;</w:t>
      </w:r>
    </w:p>
    <w:p>
      <w:pPr>
        <w:pStyle w:val="ListBullet"/>
        <w:keepLines w:val="0"/>
      </w:pPr>
      <w:r>
        <w:rPr>
          <w:rFonts w:ascii="Noto Sans" w:hAnsi="Noto Sans" w:eastAsia="Arial Unicode MS" w:cs="Noto Sans"/>
          <w:b w:val="0"/>
        </w:rPr>
        <w:t>Citar o republicar contenido oficial disponible públicamente y distributable libremente en el sitio web oficial;</w:t>
      </w:r>
    </w:p>
    <w:p>
      <w:pPr>
        <w:pStyle w:val="ListBullet"/>
        <w:keepLines w:val="0"/>
      </w:pPr>
      <w:r>
        <w:rPr>
          <w:rFonts w:ascii="Noto Sans" w:hAnsi="Noto Sans" w:eastAsia="Arial Unicode MS" w:cs="Noto Sans"/>
          <w:b w:val="0"/>
        </w:rPr>
        <w:t>Informe sobre cualquier publicación, comentario o comportamiento de cuenta que considere que viola la ley, infringe derechos o incumple las "Reglas del jugador y política de aplicación".</w:t>
      </w:r>
    </w:p>
    <w:p>
      <w:pPr>
        <w:pStyle w:val="Heading1"/>
        <w:keepLines w:val="0"/>
      </w:pPr>
      <w:r>
        <w:rPr>
          <w:rFonts w:ascii="Noto Sans" w:hAnsi="Noto Sans" w:eastAsia="Arial Unicode MS" w:cs="Noto Sans"/>
          <w:b w:val="0"/>
        </w:rPr>
        <w:t>4.2 Contenido y Conducta Prohibidos</w:t>
      </w:r>
    </w:p>
    <w:p>
      <w:pPr>
        <w:pStyle w:val="ListBullet"/>
        <w:keepLines w:val="0"/>
      </w:pPr>
      <w:r>
        <w:rPr>
          <w:rFonts w:ascii="Noto Sans" w:hAnsi="Noto Sans" w:eastAsia="Arial Unicode MS" w:cs="Noto Sans"/>
          <w:b w:val="0"/>
        </w:rPr>
        <w:t>" contenido: que viole las leyes y regulaciones aplicables, ponga en peligro la seguridad personal o patrimonial de otros o ofenda claramente el orden público y las buenas costumbres;</w:t>
      </w:r>
    </w:p>
    <w:p>
      <w:pPr>
        <w:pStyle w:val="ListBullet"/>
        <w:keepLines w:val="0"/>
      </w:pPr>
      <w:r>
        <w:rPr>
          <w:rFonts w:ascii="Noto Sans" w:hAnsi="Noto Sans" w:eastAsia="Arial Unicode MS" w:cs="Noto Sans"/>
          <w:b w:val="0"/>
        </w:rPr>
        <w:t>Fraude, phishing, suplantación de identidad de personal oficial, servicio al cliente, GM, redirección de tráfico ilegal, recopilación maliciosa de información de cuentas o pagos de otros usuarios;</w:t>
      </w:r>
    </w:p>
    <w:p>
      <w:pPr>
        <w:pStyle w:val="ListBullet"/>
        <w:keepLines w:val="0"/>
      </w:pPr>
      <w:r>
        <w:rPr>
          <w:rFonts w:ascii="Noto Sans" w:hAnsi="Noto Sans" w:eastAsia="Arial Unicode MS" w:cs="Noto Sans"/>
          <w:b w:val="0"/>
        </w:rPr>
        <w:t>Divulgación no autorizada del nombre real, documentos de identidad, dirección, número de teléfono, registros de chat privado, recibos de pago u otra información privada de otra persona;</w:t>
      </w:r>
    </w:p>
    <w:p>
      <w:pPr>
        <w:pStyle w:val="ListBullet"/>
        <w:keepLines w:val="0"/>
      </w:pPr>
      <w:r>
        <w:rPr>
          <w:rFonts w:ascii="Noto Sans" w:hAnsi="Noto Sans" w:eastAsia="Arial Unicode MS" w:cs="Noto Sans"/>
          <w:b w:val="0"/>
        </w:rPr>
        <w:t>Contenido que infrinja derechos de autor, marcas comerciales, derecho a la imagen, reputación, secretos comerciales o cualquier otro derecho legítimo;</w:t>
      </w:r>
    </w:p>
    <w:p>
      <w:pPr>
        <w:pStyle w:val="ListBullet"/>
        <w:keepLines w:val="0"/>
      </w:pPr>
      <w:r>
        <w:rPr>
          <w:rFonts w:ascii="Noto Sans" w:hAnsi="Noto Sans" w:eastAsia="Arial Unicode MS" w:cs="Noto Sans"/>
          <w:b w:val="0"/>
        </w:rPr>
        <w:t>Publicación, difusión o comercio de herramientas de trucos, programas de trucos, herramientas de explotación de vulnerabilidades, métodos de duplicación de objetos, recursos de servidores privados, scripts maliciosos, malware o información que comprometa la seguridad del servicio;</w:t>
      </w:r>
    </w:p>
    <w:p>
      <w:pPr>
        <w:pStyle w:val="ListBullet"/>
        <w:keepLines w:val="0"/>
      </w:pPr>
      <w:r>
        <w:rPr>
          <w:rFonts w:ascii="Noto Sans" w:hAnsi="Noto Sans" w:eastAsia="Arial Unicode MS" w:cs="Noto Sans"/>
          <w:b w:val="0"/>
        </w:rPr>
        <w:t>Acoso, amenazas, acoso, doxxing malicioso, hostigamiento persistente, ataques discriminatorios o acoso organizado dirigido a jugadores específicos;</w:t>
      </w:r>
    </w:p>
    <w:p>
      <w:pPr>
        <w:pStyle w:val="ListBullet"/>
        <w:keepLines w:val="0"/>
      </w:pPr>
      <w:r>
        <w:rPr>
          <w:rFonts w:ascii="Noto Sans" w:hAnsi="Noto Sans" w:eastAsia="Arial Unicode MS" w:cs="Noto Sans"/>
          <w:b w:val="0"/>
        </w:rPr>
        <w:t>Spam a gran escala, publicaciones repetitivas, sorteos falsos, publicidad maliciosa o promociones comerciales no relacionadas con la comunidad;</w:t>
      </w:r>
    </w:p>
    <w:p>
      <w:pPr>
        <w:pStyle w:val="ListBullet"/>
        <w:keepLines w:val="0"/>
      </w:pPr>
      <w:r>
        <w:rPr>
          <w:rFonts w:ascii="Noto Sans" w:hAnsi="Noto Sans" w:eastAsia="Arial Unicode MS" w:cs="Noto Sans"/>
          <w:b w:val="0"/>
        </w:rPr>
        <w:t>Uso de herramientas automatizadas para publicar contenido en masa, manipular me gusta/comentarios, falsificar interacciones o perturbar el funcionamiento normal de la comunidad;</w:t>
      </w:r>
    </w:p>
    <w:p>
      <w:pPr>
        <w:pStyle w:val="ListBullet"/>
        <w:keepLines w:val="0"/>
      </w:pPr>
      <w:r>
        <w:rPr>
          <w:rFonts w:ascii="Noto Sans" w:hAnsi="Noto Sans" w:eastAsia="Arial Unicode MS" w:cs="Noto Sans"/>
          <w:b w:val="0"/>
        </w:rPr>
        <w:t>Cualquier otro contenido o conducta que, según las "Reglas del jugador y política de aplicación" o las leyes aplicables, requiera ser gestionado.</w:t>
      </w:r>
    </w:p>
    <w:p>
      <w:pPr>
        <w:pStyle w:val="Heading1"/>
        <w:keepLines w:val="0"/>
      </w:pPr>
      <w:r>
        <w:rPr>
          <w:rFonts w:ascii="Noto Sans" w:hAnsi="Noto Sans" w:eastAsia="Arial Unicode MS" w:cs="Noto Sans"/>
          <w:b w:val="0"/>
        </w:rPr>
        <w:t>4.3 Revisión, Eliminación, Denuncia y Apelación</w:t>
      </w:r>
    </w:p>
    <w:p>
      <w:pPr>
        <w:keepLines w:val="0"/>
      </w:pPr>
      <w:r>
        <w:rPr>
          <w:rFonts w:ascii="Noto Sans" w:hAnsi="Noto Sans" w:eastAsia="Arial Unicode MS" w:cs="Noto Sans"/>
          <w:b w:val="0"/>
        </w:rPr>
        <w:t>Para mantener el orden de la comunidad y cumplir con las obligaciones bajo las leyes aplicables, el operador puede emplear herramientas automatizadas y procesos manuales para revisiones previas y posteriores a la publicación, identificación de riesgos, patrullaje, manejo de quejas y verificación de apelaciones. En China continental, el servicio de comentarios implementará autenticación de nombre real, gestión de revisión de contenido, monitoreo en tiempo real, mecanismos de quejas y apelaciones, de acuerdo con las reglas actualmente vigentes.</w:t>
      </w:r>
    </w:p>
    <w:p>
      <w:pPr>
        <w:keepLines w:val="0"/>
      </w:pPr>
      <w:r>
        <w:rPr>
          <w:rFonts w:ascii="Noto Sans" w:hAnsi="Noto Sans" w:eastAsia="Arial Unicode MS" w:cs="Noto Sans"/>
          <w:b w:val="0"/>
        </w:rPr>
        <w:t>Para el contenido que viole las leyes, infrinja derechos o incumpla las normas de la comunidad, el operador puede tomar medidas comunitarias apropiadas según la gravedad, incluyendo advertencias, denegación de publicación, ocultamiento o eliminación de publicaciones o comentarios, eliminación de perfiles del foro, restricción de funciones del foro o de comentarios, o modificación del nombre ofensivo. Si dicho contenido también constituye una violación de las reglas del juego, se pueden imponer sanciones correspondientes en el juego de acuerdo con las "Reglas del jugador y política de aplicación".</w:t>
      </w:r>
    </w:p>
    <w:p>
      <w:pPr>
        <w:keepLines w:val="0"/>
      </w:pPr>
      <w:r>
        <w:rPr>
          <w:rFonts w:ascii="Noto Sans" w:hAnsi="Noto Sans" w:eastAsia="Arial Unicode MS" w:cs="Noto Sans"/>
          <w:b w:val="0"/>
        </w:rPr>
        <w:t>Si cree que su contenido fue eliminado incorrectamente, juzgado erróneamente o sancionado indebidamente, puede presentar una queja a través del centro de atención al cliente. Revisaremos el caso basándonos en los registros disponibles, registros de contenido, materiales de denuncia y otra evidencia en ese momento.</w:t>
      </w:r>
    </w:p>
    <w:p>
      <w:pPr>
        <w:pStyle w:val="Heading1"/>
        <w:keepLines w:val="0"/>
      </w:pPr>
      <w:r>
        <w:rPr>
          <w:rFonts w:ascii="Noto Sans" w:hAnsi="Noto Sans" w:eastAsia="Arial Unicode MS" w:cs="Noto Sans"/>
          <w:b w:val="0"/>
        </w:rPr>
        <w:t>5. Derechos y Autorización del Contenido Generado por el Usuario</w:t>
      </w:r>
    </w:p>
    <w:p>
      <w:pPr>
        <w:keepLines w:val="0"/>
      </w:pPr>
      <w:r>
        <w:rPr>
          <w:rFonts w:ascii="Noto Sans" w:hAnsi="Noto Sans" w:eastAsia="Arial Unicode MS" w:cs="Noto Sans"/>
          <w:b w:val="0"/>
        </w:rPr>
        <w:t>Usted conserva los derechos de autor u otros derechos legítimos sobre su contenido original generado por usuarios. DAWNBLOOM no adquiere automáticamente la propiedad de dicho contenido simplemente porque lo haya publicado en la plataforma DAWNBLOOM Community.</w:t>
      </w:r>
    </w:p>
    <w:p>
      <w:pPr>
        <w:keepLines w:val="0"/>
      </w:pPr>
      <w:r>
        <w:rPr>
          <w:rFonts w:ascii="Noto Sans" w:hAnsi="Noto Sans" w:eastAsia="Arial Unicode MS" w:cs="Noto Sans"/>
          <w:b w:val="0"/>
        </w:rPr>
        <w:t>Para permitir el funcionamiento del foro, la visualización de contenido, la generación de miniaturas, la presentación/traducción multilingüe, copias de seguridad, revisión, recomendación, manejo de reportes y difusión razonable dentro de la comunidad oficial, usted otorga al operador una licencia mundial, no exclusiva, libre de regalías y transferible para usar su contenido, la cual puede ser sublicenciada a proveedores de servicios designados que proporcionan procesamiento técnico esencial. Esta licencia se otorga únicamente para los propósitos de operar y promover DAWNBLOOM, mostrar su contenido públicamente disponible, cumplir obligaciones legales y resolver disputas.</w:t>
      </w:r>
    </w:p>
    <w:p>
      <w:pPr>
        <w:keepLines w:val="0"/>
      </w:pPr>
      <w:r>
        <w:rPr>
          <w:rFonts w:ascii="Noto Sans" w:hAnsi="Noto Sans" w:eastAsia="Arial Unicode MS" w:cs="Noto Sans"/>
          <w:b w:val="0"/>
        </w:rPr>
        <w:t>Tras la eliminación activa de su contenido o cuenta y la finalización de la cancelación, el operador dejará de mostrar públicamente el contenido eliminado dentro de un período técnico razonable; sin embargo, las siguientes circunstancias pueden permitir la retención de copias necesarias: copias de seguridad del sistema que aún no han sido rotadas, contenido que ha sido citado legalmente o reenviado por otros usuarios, evidencia relacionada con disputas, quejas o investigaciones de seguridad, registros que deben conservarse por ley y contenido que ha sido incorporado a características temáticas oficiales o eventos para los cuales usted ha consentido por separado su uso.</w:t>
      </w:r>
    </w:p>
    <w:p>
      <w:pPr>
        <w:keepLines w:val="0"/>
      </w:pPr>
      <w:r>
        <w:rPr>
          <w:rFonts w:ascii="Noto Sans" w:hAnsi="Noto Sans" w:eastAsia="Arial Unicode MS" w:cs="Noto Sans"/>
          <w:b w:val="0"/>
        </w:rPr>
        <w:t>Debe asegurarse de tener el derecho a subir cualquier imagen, texto, guía, captura de pantalla, archivo adjunto u otro contenido que envíe, y es responsable de cualquier disputa que surja al cargar obras de terceros para las cuales no tiene derechos.</w:t>
      </w:r>
    </w:p>
    <w:p>
      <w:pPr>
        <w:pStyle w:val="Heading1"/>
        <w:keepLines w:val="0"/>
      </w:pPr>
      <w:r>
        <w:rPr>
          <w:rFonts w:ascii="Noto Sans" w:hAnsi="Noto Sans" w:eastAsia="Arial Unicode MS" w:cs="Noto Sans"/>
          <w:b w:val="0"/>
        </w:rPr>
        <w:t>6. Política de Redistribución Gratuita de Contenido Público Oficial</w:t>
      </w:r>
    </w:p>
    <w:p>
      <w:pPr>
        <w:keepLines w:val="0"/>
      </w:pPr>
      <w:r>
        <w:rPr>
          <w:rFonts w:ascii="Noto Sans" w:hAnsi="Noto Sans" w:eastAsia="Arial Unicode MS" w:cs="Noto Sans"/>
          <w:b w:val="0"/>
        </w:rPr>
        <w:t>Para facilitar la difusión por parte de jugadores, medios y la comunidad sobre DAWNBLOOM, se permite la republicación gratuita sin solicitud previa ni atribución del siguiente contenido publicado oficialmente en el sitio web: noticias oficiales, anuncios, guías públicas, capturas promocionales públicas, imágenes promocionales públicas y materiales explícitamente marcados por el equipo de operaciones como aptos para compartir públicamente.</w:t>
      </w:r>
    </w:p>
    <w:p>
      <w:pPr>
        <w:keepLines w:val="0"/>
      </w:pPr>
      <w:r>
        <w:rPr>
          <w:rFonts w:ascii="Noto Sans" w:hAnsi="Noto Sans" w:eastAsia="Arial Unicode MS" w:cs="Noto Sans"/>
          <w:b w:val="0"/>
        </w:rPr>
        <w:t>Esta redistribución gratuita no transfiere ningún derecho de propiedad intelectual ni incluye las siguientes autorizaciones:</w:t>
      </w:r>
    </w:p>
    <w:p>
      <w:pPr>
        <w:pStyle w:val="ListBullet"/>
        <w:keepLines w:val="0"/>
      </w:pPr>
      <w:r>
        <w:rPr>
          <w:rFonts w:ascii="Noto Sans" w:hAnsi="Noto Sans" w:eastAsia="Arial Unicode MS" w:cs="Noto Sans"/>
          <w:b w:val="0"/>
        </w:rPr>
        <w:t>Suplantar los canales oficiales de DAWNBLOOM, fabricar declaraciones oficiales, crear sitios web oficiales falsos, servicio al cliente falso, eventos falsos o inducir a error a los usuarios para que crean que tienen autorización o respaldo oficial;</w:t>
      </w:r>
    </w:p>
    <w:p>
      <w:pPr>
        <w:pStyle w:val="ListBullet"/>
        <w:keepLines w:val="0"/>
      </w:pPr>
      <w:r>
        <w:rPr>
          <w:rFonts w:ascii="Noto Sans" w:hAnsi="Noto Sans" w:eastAsia="Arial Unicode MS" w:cs="Noto Sans"/>
          <w:b w:val="0"/>
        </w:rPr>
        <w:t>Utilizar el nombre, logotipo, personajes, obras de arte u otros elementos de DAWNBLOOM para operar servidores privados no autorizados, software cliente pirateado, juegos falsificados, sitios web fraudulentos o servicios comerciales que confundan a los usuarios con el producto oficial;</w:t>
      </w:r>
    </w:p>
    <w:p>
      <w:pPr>
        <w:pStyle w:val="ListBullet"/>
        <w:keepLines w:val="0"/>
      </w:pPr>
      <w:r>
        <w:rPr>
          <w:rFonts w:ascii="Noto Sans" w:hAnsi="Noto Sans" w:eastAsia="Arial Unicode MS" w:cs="Noto Sans"/>
          <w:b w:val="0"/>
        </w:rPr>
        <w:t>Reempaquetar, revender obras de arte originales, archivos de música, fuentes, código, paquetes de instalación o materiales no publicados, incluidos documentos internos de desarrollo o planificación;</w:t>
      </w:r>
    </w:p>
    <w:p>
      <w:pPr>
        <w:pStyle w:val="ListBullet"/>
        <w:keepLines w:val="0"/>
      </w:pPr>
      <w:r>
        <w:rPr>
          <w:rFonts w:ascii="Noto Sans" w:hAnsi="Noto Sans" w:eastAsia="Arial Unicode MS" w:cs="Noto Sans"/>
          <w:b w:val="0"/>
        </w:rPr>
        <w:t>Modificar los paquetes de instalación, parches o archivos ejecutables oficiales y redistribuirlos bajo el nombre de la versión oficial de DAWNBLOOM;</w:t>
      </w:r>
    </w:p>
    <w:p>
      <w:pPr>
        <w:pStyle w:val="ListBullet"/>
        <w:keepLines w:val="0"/>
      </w:pPr>
      <w:r>
        <w:rPr>
          <w:rFonts w:ascii="Noto Sans" w:hAnsi="Noto Sans" w:eastAsia="Arial Unicode MS" w:cs="Noto Sans"/>
          <w:b w:val="0"/>
        </w:rPr>
        <w:t>Utilizar materiales de acceso público en contextos que sean claramente ilegales, fraudulentos, infractores o perjudiciales para la seguridad de los jugadores.</w:t>
      </w:r>
    </w:p>
    <w:p>
      <w:pPr>
        <w:keepLines w:val="0"/>
      </w:pPr>
      <w:r>
        <w:rPr>
          <w:rFonts w:ascii="Noto Sans" w:hAnsi="Noto Sans" w:eastAsia="Arial Unicode MS" w:cs="Noto Sans"/>
          <w:b w:val="0"/>
        </w:rPr>
        <w:t>Los jugadores ordinarios pueden editar, transmitir en vivo, comentar, crear videos de guías, informes de noticias y contenido de intercambio comunitario, y dichos usos no estarán sujetos a restricciones adicionales bajo estos términos; los derechos otorgados por las leyes aplicables para uso justo o cita permanecerán sin afectar.</w:t>
      </w:r>
    </w:p>
    <w:p>
      <w:pPr>
        <w:pStyle w:val="Heading1"/>
        <w:keepLines w:val="0"/>
      </w:pPr>
      <w:r>
        <w:rPr>
          <w:rFonts w:ascii="Noto Sans" w:hAnsi="Noto Sans" w:eastAsia="Arial Unicode MS" w:cs="Noto Sans"/>
          <w:b w:val="0"/>
        </w:rPr>
        <w:t>7. Descargas de Software y Juegos Oficiales y Enlaces de la Plataforma</w:t>
      </w:r>
    </w:p>
    <w:p>
      <w:pPr>
        <w:keepLines w:val="0"/>
      </w:pPr>
      <w:r>
        <w:rPr>
          <w:rFonts w:ascii="Noto Sans" w:hAnsi="Noto Sans" w:eastAsia="Arial Unicode MS" w:cs="Noto Sans"/>
          <w:b w:val="0"/>
        </w:rPr>
        <w:t>El sitio web oficial puede proporcionar enlaces de descarga o redirección basados en los horarios de lanzamiento reales. La disponibilidad específica de la plataforma, los números de versión, los requisitos del sistema y la accesibilidad regional se determinarán según lo que muestre la página en el momento del acceso.</w:t>
      </w:r>
    </w:p>
    <w:p>
      <w:pPr>
        <w:keepLines w:val="0"/>
      </w:pPr>
      <w:r>
        <w:rPr>
          <w:rFonts w:ascii="Noto Sans" w:hAnsi="Noto Sans" w:eastAsia="Arial Unicode MS" w:cs="Noto Sans"/>
          <w:b w:val="0"/>
        </w:rPr>
        <w:t>Las reglas de descarga cubren el juego y seis aplicaciones. Obtenga compilaciones disponibles desde dawnbloom.net o tiendas oficiales que enlace expresamente, como Apple App Store, Google Play o Steam. Un producto sin descarga abierta es una lista de estado, no un instalador prometido o fecha de lanzamiento. Las compilaciones modificadas de terceros no son software oficial.</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Plataforma / Idioma de la página</w:t>
            </w:r>
          </w:p>
        </w:tc>
        <w:tc>
          <w:tcPr>
            <w:tcW w:type="dxa" w:w="3249"/>
            <w:vAlign w:val="center"/>
            <w:shd w:fill="DCE8F7"/>
          </w:tcPr>
          <w:p>
            <w:pPr>
              <w:keepNext/>
              <w:spacing w:after="40"/>
            </w:pPr>
            <w:r>
              <w:rPr>
                <w:rFonts w:ascii="Noto Sans" w:hAnsi="Noto Sans" w:eastAsia="Arial Unicode MS" w:cs="Noto Sans"/>
                <w:b/>
                <w:sz w:val="17"/>
              </w:rPr>
              <w:t>Método de provisión del sitio web oficial</w:t>
            </w:r>
          </w:p>
        </w:tc>
        <w:tc>
          <w:tcPr>
            <w:tcW w:type="dxa" w:w="3249"/>
            <w:vAlign w:val="center"/>
            <w:shd w:fill="DCE8F7"/>
          </w:tcPr>
          <w:p>
            <w:pPr>
              <w:keepNext/>
              <w:spacing w:after="40"/>
            </w:pPr>
            <w:r>
              <w:rPr>
                <w:rFonts w:ascii="Noto Sans" w:hAnsi="Noto Sans" w:eastAsia="Arial Unicode MS" w:cs="Noto Sans"/>
                <w:b/>
                <w:sz w:val="17"/>
              </w:rPr>
              <w:t>Explicación</w:t>
            </w:r>
          </w:p>
        </w:tc>
      </w:tr>
      <w:tr>
        <w:trPr>
          <w:cantSplit/>
        </w:trPr>
        <w:tc>
          <w:tcPr>
            <w:tcW w:type="dxa" w:w="3249"/>
            <w:vAlign w:val="center"/>
          </w:tcPr>
          <w:p>
            <w:pPr>
              <w:spacing w:after="40"/>
            </w:pPr>
            <w:r>
              <w:rPr>
                <w:rFonts w:ascii="Noto Sans" w:hAnsi="Noto Sans" w:eastAsia="Arial Unicode MS" w:cs="Noto Sans"/>
                <w:sz w:val="17"/>
              </w:rPr>
              <w:t>Android</w:t>
            </w:r>
          </w:p>
        </w:tc>
        <w:tc>
          <w:tcPr>
            <w:tcW w:type="dxa" w:w="3249"/>
            <w:vAlign w:val="center"/>
          </w:tcPr>
          <w:p>
            <w:pPr>
              <w:spacing w:after="40"/>
            </w:pPr>
            <w:r>
              <w:rPr>
                <w:rFonts w:ascii="Noto Sans" w:hAnsi="Noto Sans" w:eastAsia="Arial Unicode MS" w:cs="Noto Sans"/>
                <w:sz w:val="17"/>
              </w:rPr>
              <w:t>Descarga directa del paquete de instalación oficial de Android desde el sitio web oficial</w:t>
            </w:r>
          </w:p>
        </w:tc>
        <w:tc>
          <w:tcPr>
            <w:tcW w:type="dxa" w:w="3249"/>
            <w:vAlign w:val="center"/>
          </w:tcPr>
          <w:p>
            <w:pPr>
              <w:spacing w:after="40"/>
            </w:pPr>
            <w:r>
              <w:rPr>
                <w:rFonts w:ascii="Noto Sans" w:hAnsi="Noto Sans" w:eastAsia="Arial Unicode MS" w:cs="Noto Sans"/>
                <w:sz w:val="17"/>
              </w:rPr>
              <w:t>Solo los archivos explícitamente marcados por el sitio web oficial se considerarán versiones de descarga directa oficiales.</w:t>
            </w:r>
          </w:p>
        </w:tc>
      </w:tr>
      <w:tr>
        <w:trPr>
          <w:cantSplit/>
        </w:trPr>
        <w:tc>
          <w:tcPr>
            <w:tcW w:type="dxa" w:w="3249"/>
            <w:vAlign w:val="center"/>
          </w:tcPr>
          <w:p>
            <w:pPr>
              <w:spacing w:after="40"/>
            </w:pPr>
            <w:r>
              <w:rPr>
                <w:rFonts w:ascii="Noto Sans" w:hAnsi="Noto Sans" w:eastAsia="Arial Unicode MS" w:cs="Noto Sans"/>
                <w:sz w:val="17"/>
              </w:rPr>
              <w:t>Windows</w:t>
            </w:r>
          </w:p>
        </w:tc>
        <w:tc>
          <w:tcPr>
            <w:tcW w:type="dxa" w:w="3249"/>
            <w:vAlign w:val="center"/>
          </w:tcPr>
          <w:p>
            <w:pPr>
              <w:spacing w:after="40"/>
            </w:pPr>
            <w:r>
              <w:rPr>
                <w:rFonts w:ascii="Noto Sans" w:hAnsi="Noto Sans" w:eastAsia="Arial Unicode MS" w:cs="Noto Sans"/>
                <w:sz w:val="17"/>
              </w:rPr>
              <w:t>Descarga directa desde el sitio web oficial</w:t>
            </w:r>
          </w:p>
        </w:tc>
        <w:tc>
          <w:tcPr>
            <w:tcW w:type="dxa" w:w="3249"/>
            <w:vAlign w:val="center"/>
          </w:tcPr>
          <w:p>
            <w:pPr>
              <w:spacing w:after="40"/>
            </w:pPr>
            <w:r>
              <w:rPr>
                <w:rFonts w:ascii="Noto Sans" w:hAnsi="Noto Sans" w:eastAsia="Arial Unicode MS" w:cs="Noto Sans"/>
                <w:sz w:val="17"/>
              </w:rPr>
              <w:t>El formato específico del paquete de instalación, la firma y el método de actualización se ajustarán a lo especificado en la página publicada oficialmente.</w:t>
            </w:r>
          </w:p>
        </w:tc>
      </w:tr>
      <w:tr>
        <w:trPr>
          <w:cantSplit/>
        </w:trPr>
        <w:tc>
          <w:tcPr>
            <w:tcW w:type="dxa" w:w="3249"/>
            <w:vAlign w:val="center"/>
          </w:tcPr>
          <w:p>
            <w:pPr>
              <w:spacing w:after="40"/>
            </w:pPr>
            <w:r>
              <w:rPr>
                <w:rFonts w:ascii="Noto Sans" w:hAnsi="Noto Sans" w:eastAsia="Arial Unicode MS" w:cs="Noto Sans"/>
                <w:sz w:val="17"/>
              </w:rPr>
              <w:t>macOS</w:t>
            </w:r>
          </w:p>
        </w:tc>
        <w:tc>
          <w:tcPr>
            <w:tcW w:type="dxa" w:w="3249"/>
            <w:vAlign w:val="center"/>
          </w:tcPr>
          <w:p>
            <w:pPr>
              <w:spacing w:after="40"/>
            </w:pPr>
            <w:r>
              <w:rPr>
                <w:rFonts w:ascii="Noto Sans" w:hAnsi="Noto Sans" w:eastAsia="Arial Unicode MS" w:cs="Noto Sans"/>
                <w:sz w:val="17"/>
              </w:rPr>
              <w:t>Descarga directa desde el sitio web oficial</w:t>
            </w:r>
          </w:p>
        </w:tc>
        <w:tc>
          <w:tcPr>
            <w:tcW w:type="dxa" w:w="3249"/>
            <w:vAlign w:val="center"/>
          </w:tcPr>
          <w:p>
            <w:pPr>
              <w:spacing w:after="40"/>
            </w:pPr>
            <w:r>
              <w:rPr>
                <w:rFonts w:ascii="Noto Sans" w:hAnsi="Noto Sans" w:eastAsia="Arial Unicode MS" w:cs="Noto Sans"/>
                <w:sz w:val="17"/>
              </w:rPr>
              <w:t>Puede verse afectado por los requisitos de seguridad del sistema Apple, certificación/firma y compatibilidad.</w:t>
            </w:r>
          </w:p>
        </w:tc>
      </w:tr>
      <w:tr>
        <w:trPr>
          <w:cantSplit/>
        </w:trPr>
        <w:tc>
          <w:tcPr>
            <w:tcW w:type="dxa" w:w="3249"/>
            <w:vAlign w:val="center"/>
          </w:tcPr>
          <w:p>
            <w:pPr>
              <w:spacing w:after="40"/>
            </w:pPr>
            <w:r>
              <w:rPr>
                <w:rFonts w:ascii="Noto Sans" w:hAnsi="Noto Sans" w:eastAsia="Arial Unicode MS" w:cs="Noto Sans"/>
                <w:sz w:val="17"/>
              </w:rPr>
              <w:t>iOS · Interfaz en chino</w:t>
            </w:r>
          </w:p>
        </w:tc>
        <w:tc>
          <w:tcPr>
            <w:tcW w:type="dxa" w:w="3249"/>
            <w:vAlign w:val="center"/>
          </w:tcPr>
          <w:p>
            <w:pPr>
              <w:spacing w:after="40"/>
            </w:pPr>
            <w:r>
              <w:rPr>
                <w:rFonts w:ascii="Noto Sans" w:hAnsi="Noto Sans" w:eastAsia="Arial Unicode MS" w:cs="Noto Sans"/>
                <w:sz w:val="17"/>
              </w:rPr>
              <w:t>Redirigir a la App Store de China continental</w:t>
            </w:r>
          </w:p>
        </w:tc>
        <w:tc>
          <w:tcPr>
            <w:tcW w:type="dxa" w:w="3249"/>
            <w:vAlign w:val="center"/>
          </w:tcPr>
          <w:p>
            <w:pPr>
              <w:spacing w:after="40"/>
            </w:pPr>
            <w:r>
              <w:rPr>
                <w:rFonts w:ascii="Noto Sans" w:hAnsi="Noto Sans" w:eastAsia="Arial Unicode MS" w:cs="Noto Sans"/>
                <w:sz w:val="17"/>
              </w:rPr>
              <w:t>Sujeto a las reglas y disponibilidad de la tienda de la región China de Apple.</w:t>
            </w:r>
          </w:p>
        </w:tc>
      </w:tr>
      <w:tr>
        <w:trPr>
          <w:cantSplit/>
        </w:trPr>
        <w:tc>
          <w:tcPr>
            <w:tcW w:type="dxa" w:w="3249"/>
            <w:vAlign w:val="center"/>
          </w:tcPr>
          <w:p>
            <w:pPr>
              <w:spacing w:after="40"/>
            </w:pPr>
            <w:r>
              <w:rPr>
                <w:rFonts w:ascii="Noto Sans" w:hAnsi="Noto Sans" w:eastAsia="Arial Unicode MS" w:cs="Noto Sans"/>
                <w:sz w:val="17"/>
              </w:rPr>
              <w:t>iOS · Interfaz en inglés</w:t>
            </w:r>
          </w:p>
        </w:tc>
        <w:tc>
          <w:tcPr>
            <w:tcW w:type="dxa" w:w="3249"/>
            <w:vAlign w:val="center"/>
          </w:tcPr>
          <w:p>
            <w:pPr>
              <w:spacing w:after="40"/>
            </w:pPr>
            <w:r>
              <w:rPr>
                <w:rFonts w:ascii="Noto Sans" w:hAnsi="Noto Sans" w:eastAsia="Arial Unicode MS" w:cs="Noto Sans"/>
                <w:sz w:val="17"/>
              </w:rPr>
              <w:t>Redirigir a la App Store de EE. UU.</w:t>
            </w:r>
          </w:p>
        </w:tc>
        <w:tc>
          <w:tcPr>
            <w:tcW w:type="dxa" w:w="3249"/>
            <w:vAlign w:val="center"/>
          </w:tcPr>
          <w:p>
            <w:pPr>
              <w:spacing w:after="40"/>
            </w:pPr>
            <w:r>
              <w:rPr>
                <w:rFonts w:ascii="Noto Sans" w:hAnsi="Noto Sans" w:eastAsia="Arial Unicode MS" w:cs="Noto Sans"/>
                <w:sz w:val="17"/>
              </w:rPr>
              <w:t>Sujeto a las reglas y disponibilidad de la tienda de la región EE. UU. de Apple.</w:t>
            </w:r>
          </w:p>
        </w:tc>
      </w:tr>
      <w:tr>
        <w:trPr>
          <w:cantSplit/>
        </w:trPr>
        <w:tc>
          <w:tcPr>
            <w:tcW w:type="dxa" w:w="3249"/>
            <w:vAlign w:val="center"/>
          </w:tcPr>
          <w:p>
            <w:pPr>
              <w:spacing w:after="40"/>
            </w:pPr>
            <w:r>
              <w:rPr>
                <w:rFonts w:ascii="Noto Sans" w:hAnsi="Noto Sans" w:eastAsia="Arial Unicode MS" w:cs="Noto Sans"/>
                <w:sz w:val="17"/>
              </w:rPr>
              <w:t>iOS · Interfaz en japonés</w:t>
            </w:r>
          </w:p>
        </w:tc>
        <w:tc>
          <w:tcPr>
            <w:tcW w:type="dxa" w:w="3249"/>
            <w:vAlign w:val="center"/>
          </w:tcPr>
          <w:p>
            <w:pPr>
              <w:spacing w:after="40"/>
            </w:pPr>
            <w:r>
              <w:rPr>
                <w:rFonts w:ascii="Noto Sans" w:hAnsi="Noto Sans" w:eastAsia="Arial Unicode MS" w:cs="Noto Sans"/>
                <w:sz w:val="17"/>
              </w:rPr>
              <w:t>Redirigir a la App Store de Japón</w:t>
            </w:r>
          </w:p>
        </w:tc>
        <w:tc>
          <w:tcPr>
            <w:tcW w:type="dxa" w:w="3249"/>
            <w:vAlign w:val="center"/>
          </w:tcPr>
          <w:p>
            <w:pPr>
              <w:spacing w:after="40"/>
            </w:pPr>
            <w:r>
              <w:rPr>
                <w:rFonts w:ascii="Noto Sans" w:hAnsi="Noto Sans" w:eastAsia="Arial Unicode MS" w:cs="Noto Sans"/>
                <w:sz w:val="17"/>
              </w:rPr>
              <w:t>Sujeto a las reglas y disponibilidad de la tienda de la región Japón de Apple.</w:t>
            </w:r>
          </w:p>
        </w:tc>
      </w:tr>
      <w:tr>
        <w:trPr>
          <w:cantSplit/>
        </w:trPr>
        <w:tc>
          <w:tcPr>
            <w:tcW w:type="dxa" w:w="3249"/>
            <w:vAlign w:val="center"/>
          </w:tcPr>
          <w:p>
            <w:pPr>
              <w:spacing w:after="40"/>
            </w:pPr>
            <w:r>
              <w:rPr>
                <w:rFonts w:ascii="Noto Sans" w:hAnsi="Noto Sans" w:eastAsia="Arial Unicode MS" w:cs="Noto Sans"/>
                <w:sz w:val="17"/>
              </w:rPr>
              <w:t>Steam</w:t>
            </w:r>
          </w:p>
        </w:tc>
        <w:tc>
          <w:tcPr>
            <w:tcW w:type="dxa" w:w="3249"/>
            <w:vAlign w:val="center"/>
          </w:tcPr>
          <w:p>
            <w:pPr>
              <w:spacing w:after="40"/>
            </w:pPr>
            <w:r>
              <w:rPr>
                <w:rFonts w:ascii="Noto Sans" w:hAnsi="Noto Sans" w:eastAsia="Arial Unicode MS" w:cs="Noto Sans"/>
                <w:sz w:val="17"/>
              </w:rPr>
              <w:t>Redirigir a la tienda Steam</w:t>
            </w:r>
          </w:p>
        </w:tc>
        <w:tc>
          <w:tcPr>
            <w:tcW w:type="dxa" w:w="3249"/>
            <w:vAlign w:val="center"/>
          </w:tcPr>
          <w:p>
            <w:pPr>
              <w:spacing w:after="40"/>
            </w:pPr>
            <w:r>
              <w:rPr>
                <w:rFonts w:ascii="Noto Sans" w:hAnsi="Noto Sans" w:eastAsia="Arial Unicode MS" w:cs="Noto Sans"/>
                <w:sz w:val="17"/>
              </w:rPr>
              <w:t>Las actividades de descarga, compra, actualización y reembolso de Steam están sujetas a los términos y condiciones de Steam.</w:t>
            </w:r>
          </w:p>
        </w:tc>
      </w:tr>
    </w:tbl>
    <w:p>
      <w:pPr>
        <w:spacing w:after="40"/>
      </w:pPr>
    </w:p>
    <w:p>
      <w:pPr>
        <w:keepLines w:val="0"/>
      </w:pPr>
      <w:r>
        <w:rPr>
          <w:rFonts w:ascii="Noto Sans" w:hAnsi="Noto Sans" w:eastAsia="Arial Unicode MS" w:cs="Noto Sans"/>
          <w:b w:val="0"/>
        </w:rPr>
        <w:t>Los paquetes modificados obtenidos por el usuario, versiones crackeadas, APKs repaquetados, clientes de servidores privados, complementos u otros archivos obtenidos de sitios web de terceros, almacenamiento en la nube, grupos de chat u otras fuentes no oficiales no constituyen una entrega formal por parte de DAWNBLOOM. El operador no garantiza la integridad, seguridad o disponibilidad de dichos archivos no oficiales; sin embargo, esto no afecta los derechos protegidos por ley del usuario.</w:t>
      </w:r>
    </w:p>
    <w:p>
      <w:pPr>
        <w:pStyle w:val="Heading1"/>
        <w:keepLines w:val="0"/>
      </w:pPr>
      <w:r>
        <w:rPr>
          <w:rFonts w:ascii="Noto Sans" w:hAnsi="Noto Sans" w:eastAsia="Arial Unicode MS" w:cs="Noto Sans"/>
          <w:b w:val="0"/>
        </w:rPr>
        <w:t>8. Tienda del Sitio Web Oficial y Bienes Digitales</w:t>
      </w:r>
    </w:p>
    <w:p>
      <w:pPr>
        <w:keepLines w:val="0"/>
      </w:pPr>
      <w:r>
        <w:rPr>
          <w:rFonts w:ascii="Noto Sans" w:hAnsi="Noto Sans" w:eastAsia="Arial Unicode MS" w:cs="Noto Sans"/>
          <w:b w:val="0"/>
        </w:rPr>
        <w:t>El sitio web oficial de DAWNBLOOM no proporciona actualmente una función general de "recarga" del saldo de la cuenta como parte de su diseño actual. La tienda del sitio web vende directamente bienes digitales específicos y, tras la compra, los artículos correspondientes se emitirán a la cuenta de juego vinculada o iniciada sesión en el momento de la compra.</w:t>
      </w:r>
    </w:p>
    <w:p>
      <w:pPr>
        <w:pStyle w:val="Heading1"/>
        <w:keepLines w:val="0"/>
      </w:pPr>
      <w:r>
        <w:rPr>
          <w:rFonts w:ascii="Noto Sans" w:hAnsi="Noto Sans" w:eastAsia="Arial Unicode MS" w:cs="Noto Sans"/>
          <w:b w:val="0"/>
        </w:rPr>
        <w:t>8.1 Métodos de Pago</w:t>
      </w:r>
    </w:p>
    <w:p>
      <w:pPr>
        <w:keepLines w:val="0"/>
      </w:pPr>
      <w:r>
        <w:rPr>
          <w:rFonts w:ascii="Noto Sans" w:hAnsi="Noto Sans" w:eastAsia="Arial Unicode MS" w:cs="Noto Sans"/>
          <w:b w:val="0"/>
        </w:rPr>
        <w:t>La tienda del sitio web oficial puede mostrar opciones de pago como WeChat Pay, Alipay, UnionPay, Visa, Mastercard, Apple Pay u otros métodos de pago legalmente disponibles, dependiendo de la región, el dispositivo y la capacidad de pago. La presencia de una opción de pago específica en la página indica únicamente que dicho método de pago está disponible en ese escenario específico en ese momento, y no implica que la institución de pago respalde a DAWNBLOOM o cualquier producto.</w:t>
      </w:r>
    </w:p>
    <w:p>
      <w:pPr>
        <w:pStyle w:val="Heading1"/>
        <w:keepLines w:val="0"/>
      </w:pPr>
      <w:r>
        <w:rPr>
          <w:rFonts w:ascii="Noto Sans" w:hAnsi="Noto Sans" w:eastAsia="Arial Unicode MS" w:cs="Noto Sans"/>
          <w:b w:val="0"/>
        </w:rPr>
        <w:t>8.2 Cofres de Contenido Fijo y Cofres Aleatorios</w:t>
      </w:r>
    </w:p>
    <w:p>
      <w:pPr>
        <w:pStyle w:val="ListBullet"/>
        <w:keepLines w:val="0"/>
      </w:pPr>
      <w:r>
        <w:rPr>
          <w:rFonts w:ascii="Noto Sans" w:hAnsi="Noto Sans" w:eastAsia="Arial Unicode MS" w:cs="Noto Sans"/>
          <w:b w:val="0"/>
        </w:rPr>
        <w:t>Cofres de contenido fijo: La lista completa de contenidos obtenidos se detalla claramente antes de la compra, y el resultado de la entrega no es aleatorio.</w:t>
      </w:r>
    </w:p>
    <w:p>
      <w:pPr>
        <w:pStyle w:val="ListBullet"/>
        <w:keepLines w:val="0"/>
      </w:pPr>
      <w:r>
        <w:rPr>
          <w:rFonts w:ascii="Noto Sans" w:hAnsi="Noto Sans" w:eastAsia="Arial Unicode MS" w:cs="Noto Sans"/>
          <w:b w:val="0"/>
        </w:rPr>
        <w:t>Cofre de tesoro aleatorio: Los resultados de apertura se generarán según el pool de objetos y las reglas de probabilidad mostradas en la página de detalles del producto en el momento de la compra. La página de detalles del producto debe especificar claramente el precio, el alcance de los objetos obtenibles, la probabilidad correspondiente o las reglas de probabilidad, cualquier restricción necesaria y la versión o período de vigencia correspondiente.</w:t>
      </w:r>
    </w:p>
    <w:p>
      <w:pPr>
        <w:pStyle w:val="ListBullet"/>
        <w:keepLines w:val="0"/>
      </w:pPr>
      <w:r>
        <w:rPr>
          <w:rFonts w:ascii="Noto Sans" w:hAnsi="Noto Sans" w:eastAsia="Arial Unicode MS" w:cs="Noto Sans"/>
          <w:b w:val="0"/>
        </w:rPr>
        <w:t>El resultado aleatorio en sí mismo no constituye un compromiso con ningún objeto específico; sin embargo, el operador debe implementar genuinamente las reglas divulgadas y no podrá alterar unilateralmente las reglas de probabilidad aplicables a los objetos ya comprados por los jugadores mediante mecanismos no divulgados.</w:t>
      </w:r>
    </w:p>
    <w:p>
      <w:pPr>
        <w:pStyle w:val="ListBullet"/>
        <w:keepLines w:val="0"/>
      </w:pPr>
      <w:r>
        <w:rPr>
          <w:rFonts w:ascii="Noto Sans" w:hAnsi="Noto Sans" w:eastAsia="Arial Unicode MS" w:cs="Noto Sans"/>
          <w:b w:val="0"/>
        </w:rPr>
        <w:t>Si en el futuro el contenido o las probabilidades de los objetos aleatorios se ajustan debido a actualizaciones de versión, las nuevas reglas generalmente solo se aplicarán a compras o escenarios aplicables que ocurran después de que entren en vigor las nuevas reglas; la información de versiones anteriores y los registros de transacciones o sorteos se conservarán según lo requiera la ley aplicable y las necesidades de resolución de disputas.</w:t>
      </w:r>
    </w:p>
    <w:p>
      <w:pPr>
        <w:pStyle w:val="Heading1"/>
        <w:keepLines w:val="0"/>
      </w:pPr>
      <w:r>
        <w:rPr>
          <w:rFonts w:ascii="Noto Sans" w:hAnsi="Noto Sans" w:eastAsia="Arial Unicode MS" w:cs="Noto Sans"/>
          <w:b w:val="0"/>
        </w:rPr>
        <w:t>8.3 Confirmación de Pedido y Entrega</w:t>
      </w:r>
    </w:p>
    <w:p>
      <w:pPr>
        <w:keepLines w:val="0"/>
      </w:pPr>
      <w:r>
        <w:rPr>
          <w:rFonts w:ascii="Noto Sans" w:hAnsi="Noto Sans" w:eastAsia="Arial Unicode MS" w:cs="Noto Sans"/>
          <w:b w:val="0"/>
        </w:rPr>
        <w:t>Una vez que el usuario confirma el producto, el precio, la cantidad, la cuenta y el método de pago y envía el pedido, el pedido y el contrato se considerarán efectivos según la ley aplicable, el resultado del pago y las disposiciones explícitamente declaradas en la página en el momento del envío. Una vez que el pago se procesa y confirma con éxito por el sistema, los bienes digitales se emitirán directamente a la cuenta de juego DAWNBLOOM correspondiente. En caso de deducciones duplicadas, fallo del pedido, entrega retrasada, emisión incorrecta o cualquier otra anomalía, estos problemas se resolverán a través del canal de atención al cliente.</w:t>
      </w:r>
    </w:p>
    <w:p>
      <w:pPr>
        <w:keepLines w:val="0"/>
      </w:pPr>
      <w:r>
        <w:rPr>
          <w:rFonts w:ascii="Noto Sans" w:hAnsi="Noto Sans" w:eastAsia="Arial Unicode MS" w:cs="Noto Sans"/>
          <w:b w:val="0"/>
        </w:rPr>
        <w:t>Los reembolsos, retiros, compras erróneas, pagos no autorizados, límites de reembolso para bienes de artículos aleatorios, disputas derivadas de compras y pagos realizados a través de plataformas de terceros y otros asuntos relacionados se regirán por los independientes "Términos de Venta y Reembolso" y las disposiciones específicas detalladas en la página del producto. Esta cláusula no excluirá, mediante lenguaje como "no hay reembolsos bajo ninguna circunstancia", ninguna forma de reparación o alivio requerida por la ley.</w:t>
      </w:r>
    </w:p>
    <w:p>
      <w:pPr>
        <w:pStyle w:val="Heading1"/>
        <w:keepLines w:val="0"/>
      </w:pPr>
      <w:r>
        <w:rPr>
          <w:rFonts w:ascii="Noto Sans" w:hAnsi="Noto Sans" w:eastAsia="Arial Unicode MS" w:cs="Noto Sans"/>
          <w:b w:val="0"/>
        </w:rPr>
        <w:t>9. Plataformas Terceras, Tiendas, Pagos y Enlaces</w:t>
      </w:r>
    </w:p>
    <w:p>
      <w:pPr>
        <w:keepLines w:val="0"/>
      </w:pPr>
      <w:r>
        <w:rPr>
          <w:rFonts w:ascii="Noto Sans" w:hAnsi="Noto Sans" w:eastAsia="Arial Unicode MS" w:cs="Noto Sans"/>
          <w:b w:val="0"/>
        </w:rPr>
        <w:t>El sitio web oficial puede contener enlaces o integrar servicios de Apple, Steam, WeChat, Alipay, UnionPay, Visa, Mastercard, Apple Pay, Cloudflare, plataformas de redes sociales u otros proveedores de terceros. Dichos servicios de terceros son proporcionados independientemente por sus respectivos proveedores, y su disponibilidad, sistemas de cuentas, autorización de pagos, procesos de reembolso, políticas de contenido y prácticas de privacidad están sujetos a los términos y condiciones establecidos por dichos proveedores.</w:t>
      </w:r>
    </w:p>
    <w:p>
      <w:pPr>
        <w:keepLines w:val="0"/>
      </w:pPr>
      <w:r>
        <w:rPr>
          <w:rFonts w:ascii="Noto Sans" w:hAnsi="Noto Sans" w:eastAsia="Arial Unicode MS" w:cs="Noto Sans"/>
          <w:b w:val="0"/>
        </w:rPr>
        <w:t>Los sitios web abiertos en el Navegador, los informes de origen mostrados en Noticias, los servicios de correo conectados en Correo y los archivos seleccionados por los usuarios siguen estando sujetos a sus respectivos sitios, editores, proveedores y titulares de derechos. DAWNBLOOM no adquiere ninguna propiedad sobre ese contenido al mostrarlo o procesarlo.</w:t>
      </w:r>
    </w:p>
    <w:p>
      <w:pPr>
        <w:keepLines w:val="0"/>
      </w:pPr>
      <w:r>
        <w:rPr>
          <w:rFonts w:ascii="Noto Sans" w:hAnsi="Noto Sans" w:eastAsia="Arial Unicode MS" w:cs="Noto Sans"/>
          <w:b w:val="0"/>
        </w:rPr>
        <w:t>Seleccionaremos y configuraremos razonablemente los servicios de terceros, pero no podemos controlar interrupciones temporales, restricciones regionales, cambios de política o decisiones independientes tomadas por las plataformas de terceros. La responsabilidad derivada de nuestra propia negligencia no se transferirá a terceros a través de esta cláusula, y no asumiremos responsabilidad por problemas más allá de nuestro control legal.</w:t>
      </w:r>
    </w:p>
    <w:p>
      <w:pPr>
        <w:pStyle w:val="Heading1"/>
        <w:keepLines w:val="0"/>
      </w:pPr>
      <w:r>
        <w:rPr>
          <w:rFonts w:ascii="Noto Sans" w:hAnsi="Noto Sans" w:eastAsia="Arial Unicode MS" w:cs="Noto Sans"/>
          <w:b w:val="0"/>
        </w:rPr>
        <w:t>10. Guía DAWNBLOOM y Funciones de Asistencia Automatizada</w:t>
      </w:r>
    </w:p>
    <w:p>
      <w:pPr>
        <w:keepLines w:val="0"/>
      </w:pPr>
      <w:r>
        <w:rPr>
          <w:rFonts w:ascii="Noto Sans" w:hAnsi="Noto Sans" w:eastAsia="Arial Unicode MS" w:cs="Noto Sans"/>
          <w:b w:val="0"/>
        </w:rPr>
        <w:t>DAWNBLOOM AI es la marca del sistema de interacción inteligente y de los servicios tecnológicos de nuestra empresa; DAWNBLOOM Fairy es el compañero inteligente y la representación interactiva de ese mismo sistema de servicios de cara a los usuarios. DAWNBLOOM AI 2.0 identifica la versión pública de dicho sistema de servicios inteligentes y no significa que nuestra empresa haya entrenado de forma independiente un modelo de lenguaje de gran tamaño de base.</w:t>
      </w:r>
    </w:p>
    <w:p>
      <w:pPr>
        <w:keepLines w:val="0"/>
      </w:pPr>
      <w:r>
        <w:rPr>
          <w:rFonts w:ascii="Noto Sans" w:hAnsi="Noto Sans" w:eastAsia="Arial Unicode MS" w:cs="Noto Sans"/>
          <w:b w:val="0"/>
        </w:rPr>
        <w:t>El servicio se limita a consultas sobre conocimientos públicos del juego y de los productos, comunicación textual en lenguaje natural, orientación sobre servicios para jugadores y las capacidades de interfaz de Intelligent UI efectivamente habilitadas; los idiomas disponibles en el sitio web oficial no amplían los idiomas del cliente del juego ni los de cada uno de los seis productos de software. Actualmente no se ofrecen generación o edición de imágenes, creación de PDF, Word, diapositivas u hojas de cálculo, ni automatización ofimática de uso general.</w:t>
      </w:r>
    </w:p>
    <w:p>
      <w:pPr>
        <w:keepLines w:val="0"/>
      </w:pPr>
      <w:r>
        <w:rPr>
          <w:rFonts w:ascii="Noto Sans" w:hAnsi="Noto Sans" w:eastAsia="Arial Unicode MS" w:cs="Noto Sans"/>
          <w:b w:val="0"/>
        </w:rPr>
        <w:t>Intelligent UI combina las respuestas con fichas de información interactivas, accesos a funciones e interfaces de confirmación. La información sobre criaturas fantásticas, equipamiento, objetos, registros personales del juego y seguridad de la cuenta solo se facilita cuando la función está habilitada, el propio interesado ha otorgado una autorización legítima y el sistema de backend ha confirmado su identidad y los permisos correspondientes, y dentro de ese ámbito. La aparición de una respuesta de AI, una ficha o un botón no significa que se haya ejecutado una operación; las operaciones sensibles requieren verificación formal y las confirmaciones necesarias, y quedan sujetas al resultado del sistema. No se permite eludir el sistema de permisos para modificar datos de jugadores o consultar información no pública de otras personas.</w:t>
      </w:r>
    </w:p>
    <w:p>
      <w:pPr>
        <w:keepLines w:val="0"/>
      </w:pPr>
      <w:r>
        <w:rPr>
          <w:rFonts w:ascii="Noto Sans" w:hAnsi="Noto Sans" w:eastAsia="Arial Unicode MS" w:cs="Noto Sans"/>
          <w:b w:val="0"/>
        </w:rPr>
        <w:t xml:space="preserve">Las respuestas de AI pueden contener errores de comprensión, omisiones o información desactualizada y no sustituyen a los anuncios oficiales, las reglas del juego, las condiciones de productos y reembolsos, los registros verificados con autorización ni los resultados de una revisión humana. Los usuarios deben verificar de forma independiente la información importante y pueden comunicar errores o presentar reclamaciones a través de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las sugerencias de AI no modifican por sí mismas los derechos existentes de los usuarios ni las vías de recurso previstas por la ley.</w:t>
      </w:r>
    </w:p>
    <w:p>
      <w:pPr>
        <w:keepLines w:val="0"/>
      </w:pPr>
      <w:r>
        <w:rPr>
          <w:rFonts w:ascii="Noto Sans" w:hAnsi="Noto Sans" w:eastAsia="Arial Unicode MS" w:cs="Noto Sans"/>
          <w:b w:val="0"/>
        </w:rPr>
        <w:t>Los usuarios solo pueden utilizar las salidas de AI dentro de lo permitido por la legislación aplicable y los derechos de terceros; no pueden presentarlas como compromisos oficiales, cometer fraude, atacar los servicios, extraer conocimientos no públicos ni eludir medidas de seguridad. Las salidas de AI no generan automáticamente autorización sobre obras o marcas ajenas ni sobre materiales oficiales. Las medidas por infracciones, las notificaciones y las reclamaciones se rigen por los mecanismos existentes de estas condiciones. Para conocer las reglas específicas de los servicios inteligentes y el tratamiento de datos, consulte además las Condiciones de uso de DAWNBLOOM AI y la Política de privacidad de DAWNBLOOM vigente; la información de privacidad específica de AI se publicará por separado una vez completada la verificación de los hechos relativos al tratamiento de datos, sin ampliar el ámbito de los servicios actualmente habilitados.</w:t>
      </w:r>
    </w:p>
    <w:p>
      <w:pPr>
        <w:pStyle w:val="Heading1"/>
        <w:keepLines w:val="0"/>
      </w:pPr>
      <w:r>
        <w:rPr>
          <w:rFonts w:ascii="Noto Sans" w:hAnsi="Noto Sans" w:eastAsia="Arial Unicode MS" w:cs="Noto Sans"/>
          <w:b w:val="0"/>
        </w:rPr>
        <w:t>11. Seguridad del Sitio Web y Acciones Técnicas Prohibidas</w:t>
      </w:r>
    </w:p>
    <w:p>
      <w:pPr>
        <w:keepLines w:val="0"/>
      </w:pPr>
      <w:r>
        <w:rPr>
          <w:rFonts w:ascii="Noto Sans" w:hAnsi="Noto Sans" w:eastAsia="Arial Unicode MS" w:cs="Noto Sans"/>
          <w:b w:val="0"/>
        </w:rPr>
        <w:t>Sin autorización explícita, los usuarios no deberán implementar ni ayudar a implementar ninguna de las siguientes acciones:</w:t>
      </w:r>
    </w:p>
    <w:p>
      <w:pPr>
        <w:pStyle w:val="ListBullet"/>
        <w:keepLines w:val="0"/>
      </w:pPr>
      <w:r>
        <w:rPr>
          <w:rFonts w:ascii="Noto Sans" w:hAnsi="Noto Sans" w:eastAsia="Arial Unicode MS" w:cs="Noto Sans"/>
          <w:b w:val="0"/>
        </w:rPr>
        <w:t>Eludir el inicio de sesión, permisos, control de riesgos, CAPTCHA, controles de acceso u otros mecanismos de seguridad;</w:t>
      </w:r>
    </w:p>
    <w:p>
      <w:pPr>
        <w:pStyle w:val="ListBullet"/>
        <w:keepLines w:val="0"/>
      </w:pPr>
      <w:r>
        <w:rPr>
          <w:rFonts w:ascii="Noto Sans" w:hAnsi="Noto Sans" w:eastAsia="Arial Unicode MS" w:cs="Noto Sans"/>
          <w:b w:val="0"/>
        </w:rPr>
        <w:t>Lanzar ataques, interferencias, pruebas de rendimiento, DDoS, escaneado malicioso, intrusiones no autorizadas, exploración de APIs no publicadas o intentar acceder a datos no autorizados;</w:t>
      </w:r>
    </w:p>
    <w:p>
      <w:pPr>
        <w:pStyle w:val="ListBullet"/>
        <w:keepLines w:val="0"/>
      </w:pPr>
      <w:r>
        <w:rPr>
          <w:rFonts w:ascii="Noto Sans" w:hAnsi="Noto Sans" w:eastAsia="Arial Unicode MS" w:cs="Noto Sans"/>
          <w:b w:val="0"/>
        </w:rPr>
        <w:t>Realizar ingeniería inversa, manipulación o explotación del sitio web, cliente, APIs o mecanismos de seguridad con fines como hacer trampa, robar cuentas, eludir restricciones, duplicar objetos virtuales o interrumpir servicios;</w:t>
      </w:r>
    </w:p>
    <w:p>
      <w:pPr>
        <w:pStyle w:val="ListBullet"/>
        <w:keepLines w:val="0"/>
      </w:pPr>
      <w:r>
        <w:rPr>
          <w:rFonts w:ascii="Noto Sans" w:hAnsi="Noto Sans" w:eastAsia="Arial Unicode MS" w:cs="Noto Sans"/>
          <w:b w:val="0"/>
        </w:rPr>
        <w:t>La extracción masiva de datos de usuarios, contenido privado, datos del foro u otra información no pública;</w:t>
      </w:r>
    </w:p>
    <w:p>
      <w:pPr>
        <w:pStyle w:val="ListBullet"/>
        <w:keepLines w:val="0"/>
      </w:pPr>
      <w:r>
        <w:rPr>
          <w:rFonts w:ascii="Noto Sans" w:hAnsi="Noto Sans" w:eastAsia="Arial Unicode MS" w:cs="Noto Sans"/>
          <w:b w:val="0"/>
        </w:rPr>
        <w:t>El uso de herramientas automatizadas para el registro masivo de cuentas, la suplantación de credenciales, el spam de interfaz, la inundación de comentarios, la manipulación de la popularidad o el consumo excesivo de recursos del servicio;</w:t>
      </w:r>
    </w:p>
    <w:p>
      <w:pPr>
        <w:pStyle w:val="ListBullet"/>
        <w:keepLines w:val="0"/>
      </w:pPr>
      <w:r>
        <w:rPr>
          <w:rFonts w:ascii="Noto Sans" w:hAnsi="Noto Sans" w:eastAsia="Arial Unicode MS" w:cs="Noto Sans"/>
          <w:b w:val="0"/>
        </w:rPr>
        <w:t>Subir o difundir virus, malware, ransomware, scripts maliciosos, páginas de inicio de sesión falsas u otro código dañino.</w:t>
      </w:r>
    </w:p>
    <w:p>
      <w:pPr>
        <w:keepLines w:val="0"/>
      </w:pPr>
      <w:r>
        <w:rPr>
          <w:rFonts w:ascii="Noto Sans" w:hAnsi="Noto Sans" w:eastAsia="Arial Unicode MS" w:cs="Noto Sans"/>
          <w:b w:val="0"/>
        </w:rPr>
        <w:t>El rastreo normal de motores de búsqueda basado en la configuración de indexación robots.txt públicamente divulgada del sitio web, las APIs autorizadas o el acceso automatizado, y los derechos legalmente otorgados para interoperabilidad o investigación de seguridad que no puedan ser excluidos por contrato no están automáticamente prohibidos bajo estos términos. Cuando los investigadores de seguridad identifiquen vulnerabilidades, se les aconseja divulgarlas responsablemente a través de los canales oficiales de atención al cliente o contacto de seguridad.</w:t>
      </w:r>
    </w:p>
    <w:p>
      <w:pPr>
        <w:pStyle w:val="Heading1"/>
        <w:keepLines w:val="0"/>
      </w:pPr>
      <w:r>
        <w:rPr>
          <w:rFonts w:ascii="Noto Sans" w:hAnsi="Noto Sans" w:eastAsia="Arial Unicode MS" w:cs="Noto Sans"/>
          <w:b w:val="0"/>
        </w:rPr>
        <w:t>12. Propiedad Intelectual y Marca de DAWNBLOOM</w:t>
      </w:r>
    </w:p>
    <w:p>
      <w:pPr>
        <w:keepLines w:val="0"/>
      </w:pPr>
      <w:r>
        <w:rPr>
          <w:rFonts w:ascii="Noto Sans" w:hAnsi="Noto Sans" w:eastAsia="Arial Unicode MS" w:cs="Noto Sans"/>
          <w:b w:val="0"/>
        </w:rPr>
        <w:t>Excepto por el contenido creado por usuarios y claramente de terceros, la expresión protegida de DAWNBLOOM en el juego, seis aplicaciones, el sitio web, la DAWNBLOOM Community y la Guía de Dawnbloom incluye nombres, logotipos, iconos, interfaces, código, personajes, arte, música, mundos, capturas de pantalla, video y copias. Pertenece al operador o al titular de los derechos relevantes o se utiliza bajo licencia. Los sitios web visitados, los informes de noticias originales, el correo de usuario y las marcas de terceros no se convierten en propiedad de DAWNBLOOM.</w:t>
      </w:r>
    </w:p>
    <w:p>
      <w:pPr>
        <w:keepLines w:val="0"/>
      </w:pPr>
      <w:r>
        <w:rPr>
          <w:rFonts w:ascii="Noto Sans" w:hAnsi="Noto Sans" w:eastAsia="Arial Unicode MS" w:cs="Noto Sans"/>
          <w:b w:val="0"/>
        </w:rPr>
        <w:t>La misma protección se extiende a los nombres de aplicaciones, iconos, interfaces, diseños de clientes, visuales y código propiedad de DAWNBLOOM. Los originales de usuarios y las noticias, páginas, correos y marcas de terceros permanecen con sus respectivos propietarios.</w:t>
      </w:r>
    </w:p>
    <w:p>
      <w:pPr>
        <w:keepLines w:val="0"/>
      </w:pPr>
      <w:r>
        <w:rPr>
          <w:rFonts w:ascii="Noto Sans" w:hAnsi="Noto Sans" w:eastAsia="Arial Unicode MS" w:cs="Noto Sans"/>
          <w:b w:val="0"/>
        </w:rPr>
        <w:t>Esta disposición concede a los usuarios una licencia limitada necesaria para acceder y utilizar los servicios, y no constituye una venta o transferencia de ningún derecho de propiedad intelectual. Excepto por el contenido públicamente disponible explícitamente permitido para redistribución gratuita en la Sección 6, el uso justo/citas permitidas por la ley y el contenido obtenido con consentimiento previo por escrito, no se permitirá ninguna copia, venta, licencia, imitación o uso para productos comerciales que puedan causar confusión con DAWNBLOOM.</w:t>
      </w:r>
    </w:p>
    <w:p>
      <w:pPr>
        <w:pStyle w:val="Heading1"/>
        <w:keepLines w:val="0"/>
      </w:pPr>
      <w:r>
        <w:rPr>
          <w:rFonts w:ascii="Noto Sans" w:hAnsi="Noto Sans" w:eastAsia="Arial Unicode MS" w:cs="Noto Sans"/>
          <w:b w:val="0"/>
        </w:rPr>
        <w:t>13. Manejo de Violaciones y Medidas de Servicio</w:t>
      </w:r>
    </w:p>
    <w:p>
      <w:pPr>
        <w:keepLines w:val="0"/>
      </w:pPr>
      <w:r>
        <w:rPr>
          <w:rFonts w:ascii="Noto Sans" w:hAnsi="Noto Sans" w:eastAsia="Arial Unicode MS" w:cs="Noto Sans"/>
          <w:b w:val="0"/>
        </w:rPr>
        <w:t>El tratamiento de infracciones en el sitio web, el foro y dentro del juego seguirá principalmente las "Reglas del Jugador y Política de Aplicación." Dependiendo de la naturaleza y gravedad de la conducta, las medidas apropiadas pueden incluir advertencias, silenciamiento, desconexión forzada, aislamiento temporal (cárcel), aislamiento permanente (cárcel), congelación o revocación de objetos virtuales, deducción de valores, restricciones de transacción, modificación de nombres de jugadores/familias, disolución de familias, eliminación de publicaciones del foro y eliminación de perfiles del foro. En casos graves, podrá perseguirse la responsabilidad legal conforme a las leyes aplicables.</w:t>
      </w:r>
    </w:p>
    <w:p>
      <w:pPr>
        <w:keepLines w:val="0"/>
      </w:pPr>
      <w:r>
        <w:rPr>
          <w:rFonts w:ascii="Noto Sans" w:hAnsi="Noto Sans" w:eastAsia="Arial Unicode MS" w:cs="Noto Sans"/>
          <w:b w:val="0"/>
        </w:rPr>
        <w:t>DAWNBLOOM El operador no impondrá rutinariamente la suspensión permanente de la cuenta como la máxima sanción por infracciones de juego; sin embargo, si una autoridad competente lo exige legalmente o las leyes mandan la cesación de servicios específicos, o si la cuenta involucra falsificación/robo de identidad, emergencias de seguridad del sistema u otras circunstancias fuera de las sanciones ordinarias de juego, el operador puede, conforme a la ley, implementar restricciones de acceso necesarias o suspender funciones específicas.</w:t>
      </w:r>
    </w:p>
    <w:p>
      <w:pPr>
        <w:keepLines w:val="0"/>
      </w:pPr>
      <w:r>
        <w:rPr>
          <w:rFonts w:ascii="Noto Sans" w:hAnsi="Noto Sans" w:eastAsia="Arial Unicode MS" w:cs="Noto Sans"/>
          <w:b w:val="0"/>
        </w:rPr>
        <w:t>Las sanciones tomarán en consideración integral factores tales como evidencia, gravedad del comportamiento, alcance del impacto, intención subjetiva, ganancias obtenidas, reincidencia, acciones remediales proactivas y daño causado a otros jugadores; no hay garantía de que períodos de sanción idénticos se apliquen mecánicamente en todos los casos. Los usuarios pueden presentar apelaciones de acuerdo con las "Reglas del Jugador" y el proceso de servicio al cliente.</w:t>
      </w:r>
    </w:p>
    <w:p>
      <w:pPr>
        <w:pStyle w:val="Heading1"/>
        <w:keepLines w:val="0"/>
      </w:pPr>
      <w:r>
        <w:rPr>
          <w:rFonts w:ascii="Noto Sans" w:hAnsi="Noto Sans" w:eastAsia="Arial Unicode MS" w:cs="Noto Sans"/>
          <w:b w:val="0"/>
        </w:rPr>
        <w:t>14. Mantenimiento del Sitio Web, Actualizaciones de Versión y Cambios de Servicio</w:t>
      </w:r>
    </w:p>
    <w:p>
      <w:pPr>
        <w:keepLines w:val="0"/>
      </w:pPr>
      <w:r>
        <w:rPr>
          <w:rFonts w:ascii="Noto Sans" w:hAnsi="Noto Sans" w:eastAsia="Arial Unicode MS" w:cs="Noto Sans"/>
          <w:b w:val="0"/>
        </w:rPr>
        <w:t>Los servicios del sitio web, juegos, descargas de aplicaciones, cuentas, comunidad y tienda pueden ser interrumpidos o ajustados para actualizaciones, correcciones o seguridad. Daremos aviso razonable anticipado o oportuno de cambios materiales cuando sea práctico. Esto no implica que una aplicación no lanzada esté disponible.</w:t>
      </w:r>
    </w:p>
    <w:p>
      <w:pPr>
        <w:keepLines w:val="0"/>
      </w:pPr>
      <w:r>
        <w:rPr>
          <w:rFonts w:ascii="Noto Sans" w:hAnsi="Noto Sans" w:eastAsia="Arial Unicode MS" w:cs="Noto Sans"/>
          <w:b w:val="0"/>
        </w:rPr>
        <w:t>El operador puede agregar, modificar o discontinuar características web gratuitas que no hayan formado compromisos de pago independientes, pero no privará unilateral ni retrospectivamente a los usuarios de bienes digitales, reembolsos, compensación u otros derechos del consumidor obtenidos legalmente mediante cláusulas de formulario estándar. Al finalizar el negocio general, se cumplirán los avisos públicos necesarios y las obligaciones posteriores a la terminación de acuerdo con las leyes aplicables.</w:t>
      </w:r>
    </w:p>
    <w:p>
      <w:pPr>
        <w:pStyle w:val="Heading1"/>
        <w:keepLines w:val="0"/>
      </w:pPr>
      <w:r>
        <w:rPr>
          <w:rFonts w:ascii="Noto Sans" w:hAnsi="Noto Sans" w:eastAsia="Arial Unicode MS" w:cs="Noto Sans"/>
          <w:b w:val="0"/>
        </w:rPr>
        <w:t>15. Divulgación del Servicio y Límites de Responsabilidad</w:t>
      </w:r>
    </w:p>
    <w:p>
      <w:pPr>
        <w:keepLines w:val="0"/>
      </w:pPr>
      <w:r>
        <w:rPr>
          <w:rFonts w:ascii="Noto Sans" w:hAnsi="Noto Sans" w:eastAsia="Arial Unicode MS" w:cs="Noto Sans"/>
          <w:b w:val="0"/>
        </w:rPr>
        <w:t>Tomaremos medidas razonables para garantizar la seguridad, estabilidad y precisión del sitio web; sin embargo, los servicios de internet no pueden garantizar ausencia absoluta de errores, latencia cero, compatibilidad o disponibilidad continua de plataformas de terceros. Las responsabilidades por problemas derivados de dispositivos de usuario, software de cliente modificado por el usuario, paquetes de instalación no oficiales, fallos independientes de terceros o eventos de fuerza mayor más allá del control razonable del operador se determinarán basándose en las causas reales y las leyes aplicables.</w:t>
      </w:r>
    </w:p>
    <w:p>
      <w:pPr>
        <w:keepLines w:val="0"/>
      </w:pPr>
      <w:r>
        <w:rPr>
          <w:rFonts w:ascii="Noto Sans" w:hAnsi="Noto Sans" w:eastAsia="Arial Unicode MS" w:cs="Noto Sans"/>
          <w:b w:val="0"/>
        </w:rPr>
        <w:t>Cualquier exención o limitación de responsabilidad solo será efectiva en la medida permitida por la ley aplicable. Este Acuerdo no excluye ni limita la responsabilidad derivada de mala conducta intencional, negligencia grave, fraude, lesiones personales o cualquier otra responsabilidad que la ley prohíba explícitamente excluir, y no afectará los derechos legalmente protegidos del consumidor a reembolso, compensación, queja, arbitraje o litigio, los cuales son irrenunciables e irrevocables.</w:t>
      </w:r>
    </w:p>
    <w:p>
      <w:pPr>
        <w:keepLines w:val="0"/>
      </w:pPr>
      <w:r>
        <w:rPr>
          <w:rFonts w:ascii="Noto Sans" w:hAnsi="Noto Sans" w:eastAsia="Arial Unicode MS" w:cs="Noto Sans"/>
          <w:b w:val="0"/>
        </w:rPr>
        <w:t>En particular, para los consumidores japoneses, esta disposición no pretende eximirse de las responsabilidades prohibidas por leyes como la Ley de Contratos de Consumo, que prohíben expresamente tales exenciones; para los consumidores chinos, esta disposición no contiene cláusulas de formato injustas legalmente inválidas como «se reserva el derecho de interpretación final por parte del operador» u otras similares.</w:t>
      </w:r>
    </w:p>
    <w:p>
      <w:pPr>
        <w:pStyle w:val="Heading1"/>
        <w:keepLines w:val="0"/>
      </w:pPr>
      <w:r>
        <w:rPr>
          <w:rFonts w:ascii="Noto Sans" w:hAnsi="Noto Sans" w:eastAsia="Arial Unicode MS" w:cs="Noto Sans"/>
          <w:b w:val="0"/>
        </w:rPr>
        <w:t>16. Derechos de Autor, Marcas Registradas y Quejas por Infracción</w:t>
      </w:r>
    </w:p>
    <w:p>
      <w:pPr>
        <w:keepLines w:val="0"/>
      </w:pPr>
      <w:r>
        <w:rPr>
          <w:rFonts w:ascii="Noto Sans" w:hAnsi="Noto Sans" w:eastAsia="Arial Unicode MS" w:cs="Noto Sans"/>
          <w:b w:val="0"/>
        </w:rPr>
        <w:t>Si cree que algún contenido en la DAWNBLOOM Community o en el sitio web oficial infringe sus derechos de autor, marca comercial, imagen, reputación, privacidad o cualquier otro derecho legítimo, puede presentar ante servicio al cliente un certificado de derechos, la ubicación específica del contenido denunciado, los fundamentos de la infracción, su información de contacto y las declaraciones necesarias. Tomaremos las acciones apropiadas, incluyendo verificación, restricción de acceso, eliminación, reenvío de la queja o restauración, basándonos en las leyes aplicables y la evidencia.</w:t>
      </w:r>
    </w:p>
    <w:p>
      <w:pPr>
        <w:keepLines w:val="0"/>
      </w:pPr>
      <w:r>
        <w:rPr>
          <w:rFonts w:ascii="Noto Sans" w:hAnsi="Noto Sans" w:eastAsia="Arial Unicode MS" w:cs="Noto Sans"/>
          <w:b w:val="0"/>
        </w:rPr>
        <w:t>Para calificar para la protección del puerto seguro bajo la Sección 512 de la Ley de Derechos de Autor del Milenio Digital (DMCA) de EE. UU. para usuarios de EE. UU., el operador debe registrar un Agente Designado con la Oficina de Derechos de Autor de EE. UU. y divulgar públicamente el nombre, dirección, número de teléfono y correo electrónico del agente en el sitio web oficial. Además, se debe establecer un proceso calificado de retirada y contranotificación. Antes de la finalización de estos procedimientos, esta disposición no se interpretará como otorgando automáticamente el estatus de puerto seguro DMCA. DMCA-AGENCY-REG-2024</w:t>
      </w:r>
    </w:p>
    <w:p>
      <w:pPr>
        <w:pStyle w:val="Heading1"/>
        <w:keepLines w:val="0"/>
      </w:pPr>
      <w:r>
        <w:rPr>
          <w:rFonts w:ascii="Noto Sans" w:hAnsi="Noto Sans" w:eastAsia="Arial Unicode MS" w:cs="Noto Sans"/>
          <w:b w:val="0"/>
        </w:rPr>
        <w:t>17. Privacidad y Procesamiento de Datos</w:t>
      </w:r>
    </w:p>
    <w:p>
      <w:pPr>
        <w:keepLines w:val="0"/>
      </w:pPr>
      <w:r>
        <w:rPr>
          <w:rFonts w:ascii="Noto Sans" w:hAnsi="Noto Sans" w:eastAsia="Arial Unicode MS" w:cs="Noto Sans"/>
          <w:b w:val="0"/>
        </w:rPr>
        <w:t>El procesamiento en todo el sitio web, cuenta, juego, seis aplicaciones, comunidad y soporte está gobernado por la unificada Política de Privacidad de DAWNBLOOM y los avisos de productos formalmente vinculados. Los datos del Navegador local, los datos de lectura de noticias, el contenido del proveedor de correo y los archivos de usuario tienen límites distintos. Estos términos no amplían el procesamiento más allá de lo establecido en la Política de Privacidad.</w:t>
      </w:r>
    </w:p>
    <w:p>
      <w:pPr>
        <w:pStyle w:val="Heading1"/>
        <w:keepLines w:val="0"/>
      </w:pPr>
      <w:r>
        <w:rPr>
          <w:rFonts w:ascii="Noto Sans" w:hAnsi="Noto Sans" w:eastAsia="Arial Unicode MS" w:cs="Noto Sans"/>
          <w:b w:val="0"/>
        </w:rPr>
        <w:t>18. Actualizaciones de cláusulas y notificación</w:t>
      </w:r>
    </w:p>
    <w:p>
      <w:pPr>
        <w:keepLines w:val="0"/>
      </w:pPr>
      <w:r>
        <w:rPr>
          <w:rFonts w:ascii="Noto Sans" w:hAnsi="Noto Sans" w:eastAsia="Arial Unicode MS" w:cs="Noto Sans"/>
          <w:b w:val="0"/>
        </w:rPr>
        <w:t>En respuesta a cambios en las funciones del sitio web, las reglas de la plataforma o las leyes aplicables, podemos modificar estos Términos. Para revisiones menores que impliquen únicamente ajustes textuales, actualizaciones de información de contacto o modificaciones que no afecten sustancialmente los derechos u obligaciones de los usuarios, actualizaremos el número de versión y la fecha en nuestro sitio web oficial. Para enmiendas significativas que impacten materialmente las cuentas, foros, tiendas, responsabilidades o la resolución de disputas, proporcionaremos un aviso destacado mediante anuncios en el sitio web oficial, mensajes de inicio de sesión u otros medios razonables, y, cuando lo exija la ley, obtendremos el consentimiento de los usuarios nuevamente.</w:t>
      </w:r>
    </w:p>
    <w:p>
      <w:pPr>
        <w:keepLines w:val="0"/>
      </w:pPr>
      <w:r>
        <w:rPr>
          <w:rFonts w:ascii="Noto Sans" w:hAnsi="Noto Sans" w:eastAsia="Arial Unicode MS" w:cs="Noto Sans"/>
          <w:b w:val="0"/>
        </w:rPr>
        <w:t>Los pedidos completados, las disputas ya surgidas y las acciones históricas generalmente se manejarán de acuerdo con las reglas vigentes en el momento de la acción o el establecimiento de la transacción; excepto donde las leyes lo requieran de otra manera, donde ambas partes tengan un acuerdo válido contrario, o donde las nuevas reglas sean más favorables para el usuario.</w:t>
      </w:r>
    </w:p>
    <w:p>
      <w:pPr>
        <w:pStyle w:val="Heading1"/>
        <w:keepLines w:val="0"/>
      </w:pPr>
      <w:r>
        <w:rPr>
          <w:rFonts w:ascii="Noto Sans" w:hAnsi="Noto Sans" w:eastAsia="Arial Unicode MS" w:cs="Noto Sans"/>
          <w:b w:val="0"/>
        </w:rPr>
        <w:t>19. Ley aplicable, derechos del consumidor y resolución de disputas</w:t>
      </w:r>
    </w:p>
    <w:p>
      <w:pPr>
        <w:keepLines w:val="0"/>
      </w:pPr>
      <w:r>
        <w:rPr>
          <w:rFonts w:ascii="Noto Sans" w:hAnsi="Noto Sans" w:eastAsia="Arial Unicode MS" w:cs="Noto Sans"/>
          <w:b w:val="0"/>
        </w:rPr>
        <w:t>Estos términos generalmente establecen las leyes aplicables en la jurisdicción de la entidad operadora como reglas fundamentales, pero esto no excluye a los usuarios, como consumidores, de disfrutar de derechos irrevocables otorgados por las leyes obligatorias de protección al consumidor aplicables a su lugar de residencia o lugar de transacción.</w:t>
      </w:r>
    </w:p>
    <w:p>
      <w:pPr>
        <w:keepLines w:val="0"/>
      </w:pPr>
      <w:r>
        <w:rPr>
          <w:rFonts w:ascii="Noto Sans" w:hAnsi="Noto Sans" w:eastAsia="Arial Unicode MS" w:cs="Noto Sans"/>
          <w:b w:val="0"/>
        </w:rPr>
        <w:t>En caso de disputa, se aconseja a las partes resolver primero el asunto mediante negociación con el Centro de Atención al Cliente de DAWNBLOOM. Si la negociación falla, cualquiera de las partes puede buscar reparación bajo las leyes aplicables ante el tribunal competente, institución de arbitraje (si ambas partes tienen un acuerdo de arbitraje válido) o autoridades de protección al consumidor o regulatorias. Esta cláusula no limita los derechos legales de los usuarios para presentar quejas, reportar violaciones, solicitar mediación o iniciar litigios.</w:t>
      </w:r>
    </w:p>
    <w:p>
      <w:pPr>
        <w:pStyle w:val="Heading1"/>
        <w:keepLines w:val="0"/>
      </w:pPr>
      <w:r>
        <w:rPr>
          <w:rFonts w:ascii="Noto Sans" w:hAnsi="Noto Sans" w:eastAsia="Arial Unicode MS" w:cs="Noto Sans"/>
          <w:b w:val="0"/>
        </w:rPr>
        <w:t>20. Disposiciones complementarias regionales</w:t>
      </w:r>
    </w:p>
    <w:p>
      <w:pPr>
        <w:pStyle w:val="Heading1"/>
        <w:keepLines w:val="0"/>
      </w:pPr>
      <w:r>
        <w:rPr>
          <w:rFonts w:ascii="Noto Sans" w:hAnsi="Noto Sans" w:eastAsia="Arial Unicode MS" w:cs="Noto Sans"/>
          <w:b w:val="0"/>
        </w:rPr>
        <w:t>20.1 China continental</w:t>
      </w:r>
    </w:p>
    <w:p>
      <w:pPr>
        <w:pStyle w:val="ListBullet"/>
        <w:keepLines w:val="0"/>
      </w:pPr>
      <w:r>
        <w:rPr>
          <w:rFonts w:ascii="Noto Sans" w:hAnsi="Noto Sans" w:eastAsia="Arial Unicode MS" w:cs="Noto Sans"/>
          <w:b w:val="0"/>
        </w:rPr>
        <w:t>Las funciones de publicación, comentarios y respuestas de DAWNBLOOM Community implementarán los requisitos de "verificación real en el backend, participación voluntaria en el frontend", revisión y gestión de contenido, monitoreo en tiempo real, procedimientos de denuncia y apelación dentro del ámbito aplicable.</w:t>
      </w:r>
    </w:p>
    <w:p>
      <w:pPr>
        <w:pStyle w:val="ListBullet"/>
        <w:keepLines w:val="0"/>
      </w:pPr>
      <w:r>
        <w:rPr>
          <w:rFonts w:ascii="Noto Sans" w:hAnsi="Noto Sans" w:eastAsia="Arial Unicode MS" w:cs="Noto Sans"/>
          <w:b w:val="0"/>
        </w:rPr>
        <w:t>Al vender bienes digitales directamente a través del sitio web oficial, la entidad operadora real, la información operativa o de licencia esencial y los detalles reales de los bienes o servicios deben divulgarse legalmente. El precio, cantidad, método de pago, términos de entrega y políticas de reembolso o cancelación deben mostrarse claramente en la página de confirmación del pedido o confirmación final.</w:t>
      </w:r>
    </w:p>
    <w:p>
      <w:pPr>
        <w:pStyle w:val="ListBullet"/>
        <w:keepLines w:val="0"/>
      </w:pPr>
      <w:r>
        <w:rPr>
          <w:rFonts w:ascii="Noto Sans" w:hAnsi="Noto Sans" w:eastAsia="Arial Unicode MS" w:cs="Noto Sans"/>
          <w:b w:val="0"/>
        </w:rPr>
        <w:t>Ninguna cláusula podrá excluir los derechos estatutarios de los consumidores para presentar quejas, denunciar infracciones, iniciar litigios, solicitar reembolsos o reclamar compensaciones. Ninguna cláusula otorgará al operador el derecho unilateral a la interpretación final.</w:t>
      </w:r>
    </w:p>
    <w:p>
      <w:pPr>
        <w:pStyle w:val="ListBullet"/>
        <w:keepLines w:val="0"/>
      </w:pPr>
      <w:r>
        <w:rPr>
          <w:rFonts w:ascii="Noto Sans" w:hAnsi="Noto Sans" w:eastAsia="Arial Unicode MS" w:cs="Noto Sans"/>
          <w:b w:val="0"/>
        </w:rPr>
        <w:t>La operación comercial de juegos en línea en China continental también puede estar sujeta a requisitos de cumplimiento administrativo como licencias de publicación de juegos, autenticación por nombre real, medidas contra la adicción, regulaciones de pago y otras disposiciones supervisoras; los términos en este sitio web no reemplazan estas obligaciones de cumplimiento administrativo.</w:t>
      </w:r>
    </w:p>
    <w:p>
      <w:pPr>
        <w:pStyle w:val="Heading1"/>
        <w:keepLines w:val="0"/>
      </w:pPr>
      <w:r>
        <w:rPr>
          <w:rFonts w:ascii="Noto Sans" w:hAnsi="Noto Sans" w:eastAsia="Arial Unicode MS" w:cs="Noto Sans"/>
          <w:b w:val="0"/>
        </w:rPr>
        <w:t>20.2 Estados Unidos</w:t>
      </w:r>
    </w:p>
    <w:p>
      <w:pPr>
        <w:pStyle w:val="ListBullet"/>
        <w:keepLines w:val="0"/>
      </w:pPr>
      <w:r>
        <w:rPr>
          <w:rFonts w:ascii="Noto Sans" w:hAnsi="Noto Sans" w:eastAsia="Arial Unicode MS" w:cs="Noto Sans"/>
          <w:b w:val="0"/>
        </w:rPr>
        <w:t>Las cuentas de juego, la comunidad de jugadores, las compras en la tienda y los servicios relacionados con el juego requieren actualmente que los usuarios tengan 18 años o más. Las páginas públicas y DAWNBLOOM Browser no están excluidos por el límite de edad del juego. Los asuntos relativos a la edad del navegador se rigen por sus Términos separados, la Política de Privacidad unificada y la ley aplicable.</w:t>
      </w:r>
    </w:p>
    <w:p>
      <w:pPr>
        <w:pStyle w:val="ListBullet"/>
        <w:keepLines w:val="0"/>
      </w:pPr>
      <w:r>
        <w:rPr>
          <w:rFonts w:ascii="Noto Sans" w:hAnsi="Noto Sans" w:eastAsia="Arial Unicode MS" w:cs="Noto Sans"/>
          <w:b w:val="0"/>
        </w:rPr>
        <w:t>Al manejar avisos de retirada de derechos de autor para contenido de foros o generado por usuarios dirigido a usuarios de EE. UU., dichos avisos se procesarán de acuerdo con la ley de derechos de autor estadounidense aplicable; para calificar para el puerto seguro bajo la Sección 512 de la DMCA, deben completarse el registro del agente designado, la divulgación pública de información de contacto y los procedimientos de aviso/contranotificación.</w:t>
      </w:r>
    </w:p>
    <w:p>
      <w:pPr>
        <w:pStyle w:val="ListBullet"/>
        <w:keepLines w:val="0"/>
      </w:pPr>
      <w:r>
        <w:rPr>
          <w:rFonts w:ascii="Noto Sans" w:hAnsi="Noto Sans" w:eastAsia="Arial Unicode MS" w:cs="Noto Sans"/>
          <w:b w:val="0"/>
        </w:rPr>
        <w:t>Las páginas de productos, la confirmación de pago y los materiales promocionales no deben utilizar prácticas falsas, engañosas o fraudulentas que oculten condiciones importantes; las remedios legales de los consumidores bajo la ley estatal o federal no podrán ser excluidos por estos términos.</w:t>
      </w:r>
    </w:p>
    <w:p>
      <w:pPr>
        <w:pStyle w:val="ListBullet"/>
        <w:keepLines w:val="0"/>
      </w:pPr>
      <w:r>
        <w:rPr>
          <w:rFonts w:ascii="Noto Sans" w:hAnsi="Noto Sans" w:eastAsia="Arial Unicode MS" w:cs="Noto Sans"/>
          <w:b w:val="0"/>
        </w:rPr>
        <w:t>Pueden existir regulaciones adicionales de consumidores, renovación automática, privacidad o bienes digitales en varios estados de EE. UU.; antes de lanzar oficialmente tales servicios, los modelos de transacción reales deben revisarse para garantizar el cumplimiento.</w:t>
      </w:r>
    </w:p>
    <w:p>
      <w:pPr>
        <w:pStyle w:val="Heading1"/>
        <w:keepLines w:val="0"/>
      </w:pPr>
      <w:r>
        <w:rPr>
          <w:rFonts w:ascii="Noto Sans" w:hAnsi="Noto Sans" w:eastAsia="Arial Unicode MS" w:cs="Noto Sans"/>
          <w:b w:val="0"/>
        </w:rPr>
        <w:t>20.3 Japón</w:t>
      </w:r>
    </w:p>
    <w:p>
      <w:pPr>
        <w:pStyle w:val="ListBullet"/>
        <w:keepLines w:val="0"/>
      </w:pPr>
      <w:r>
        <w:rPr>
          <w:rFonts w:ascii="Noto Sans" w:hAnsi="Noto Sans" w:eastAsia="Arial Unicode MS" w:cs="Noto Sans"/>
          <w:b w:val="0"/>
        </w:rPr>
        <w:t>Al vender directamente bienes digitales a consumidores japoneses a través del sitio web oficial, se deberá proporcionar una página de información comercial obligatoria por ley, claramente accesible, de acuerdo con la Ley de Transacciones Comerciales Específicas, y el vendedor, precio, método de pago, detalles de entrega y procedimientos de cancelación/reembolso deberán mostrarse claramente durante todo el proceso de compra.</w:t>
      </w:r>
    </w:p>
    <w:p>
      <w:pPr>
        <w:pStyle w:val="ListBullet"/>
        <w:keepLines w:val="0"/>
      </w:pPr>
      <w:r>
        <w:rPr>
          <w:rFonts w:ascii="Noto Sans" w:hAnsi="Noto Sans" w:eastAsia="Arial Unicode MS" w:cs="Noto Sans"/>
          <w:b w:val="0"/>
        </w:rPr>
        <w:t>Las exenciones y limitaciones de responsabilidad en estos términos no excluirán la responsabilidad por negligencia intencional o grave prohibida por leyes como la Ley de Contratos de Consumo.</w:t>
      </w:r>
    </w:p>
    <w:p>
      <w:pPr>
        <w:pStyle w:val="ListBullet"/>
        <w:keepLines w:val="0"/>
      </w:pPr>
      <w:r>
        <w:rPr>
          <w:rFonts w:ascii="Noto Sans" w:hAnsi="Noto Sans" w:eastAsia="Arial Unicode MS" w:cs="Noto Sans"/>
          <w:b w:val="0"/>
        </w:rPr>
        <w:t>La descripción del producto, las tasas de caída del cofre sorpresa aleatorio y los términos comerciales significativos en la página japonesa se presentarán de manera clara y fácilmente comprensible para los usuarios japoneses; ninguna discrepancia de traducción socavará los derechos legales de consumo garantizados por la ley.</w:t>
      </w:r>
    </w:p>
    <w:p>
      <w:pPr>
        <w:pStyle w:val="Heading1"/>
        <w:keepLines w:val="0"/>
      </w:pPr>
      <w:r>
        <w:rPr>
          <w:rFonts w:ascii="Noto Sans" w:hAnsi="Noto Sans" w:eastAsia="Arial Unicode MS" w:cs="Noto Sans"/>
          <w:b w:val="0"/>
        </w:rPr>
        <w:t>21. Contacto, quejas y apelaciones</w:t>
      </w:r>
    </w:p>
    <w:p>
      <w:pPr>
        <w:keepLines w:val="0"/>
      </w:pPr>
      <w:r>
        <w:rPr>
          <w:rFonts w:ascii="Noto Sans" w:hAnsi="Noto Sans" w:eastAsia="Arial Unicode MS" w:cs="Noto Sans"/>
          <w:b w:val="0"/>
        </w:rPr>
        <w:t>Para consultas de servicio, apelaciones en el foro, problemas de cuenta, informes de infracción, alertas de seguridad o comentarios sobre estos términos, los usuarios pueden contactar al centro oficial de atención al cliente o a través de la siguiente dirección:</w:t>
      </w:r>
    </w:p>
    <w:p>
      <w:pPr>
        <w:keepLines w:val="0"/>
      </w:pPr>
      <w:r>
        <w:rPr>
          <w:rFonts w:ascii="Noto Sans" w:hAnsi="Noto Sans" w:eastAsia="Arial Unicode MS" w:cs="Noto Sans"/>
          <w:b w:val="0"/>
        </w:rPr>
        <w:t xml:space="preserve">Soporte general de jugadores: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consultas legales, de derechos de autor y privacidad: </w:t>
      </w:r>
      <w:hyperlink r:id="rId18">
        <w:r>
          <w:rPr>
            <w:rFonts w:ascii="Noto Sans" w:hAnsi="Noto Sans" w:eastAsia="Arial Unicode MS"/>
            <w:b w:val="0"/>
          </w:rPr>
          <w:t xml:space="preserve">legal@dawnbloom.net</w:t>
        </w:r>
      </w:hyperlink>
      <w:r>
        <w:rPr>
          <w:rFonts w:ascii="Noto Sans" w:hAnsi="Noto Sans" w:eastAsia="Arial Unicode MS" w:cs="Noto Sans"/>
          <w:b w:val="0"/>
        </w:rPr>
        <w:t xml:space="preserve">; vulnerabilidades de seguridad e incidentes: </w:t>
      </w:r>
      <w:hyperlink r:id="rId19">
        <w:r>
          <w:rPr>
            <w:rFonts w:ascii="Noto Sans" w:hAnsi="Noto Sans" w:eastAsia="Arial Unicode MS"/>
            <w:b w:val="0"/>
          </w:rPr>
          <w:t xml:space="preserve">security@dawnbloom.net</w:t>
        </w:r>
      </w:hyperlink>
    </w:p>
    <w:p>
      <w:pPr>
        <w:keepLines w:val="0"/>
      </w:pPr>
      <w:r>
        <w:rPr>
          <w:rFonts w:ascii="Noto Sans" w:hAnsi="Noto Sans" w:eastAsia="Arial Unicode MS" w:cs="Noto Sans"/>
          <w:b w:val="0"/>
        </w:rPr>
        <w:t>Operador / proveedor de servicios web: Shanghai Zhuiguang Zhichuang Cultural Media Co., Ltd. (nombre público en inglés: SHANGHAI LUMIREALM CREATIVE MEDIA CO., LTD.)</w:t>
      </w:r>
    </w:p>
    <w:p>
      <w:pPr>
        <w:keepLines w:val="0"/>
      </w:pPr>
      <w:r>
        <w:rPr>
          <w:rFonts w:ascii="Noto Sans" w:hAnsi="Noto Sans" w:eastAsia="Arial Unicode MS" w:cs="Noto Sans"/>
          <w:b w:val="0"/>
        </w:rPr>
        <w:t>Dirección de operaciones / Dirección oficial de contacto: Room 218, Building 3, No. 336 Tianjiao Road, Lin-gang Special Area of the China (Shanghai) Pilot Free Trade Zone, China</w:t>
      </w:r>
    </w:p>
    <w:p>
      <w:pPr>
        <w:keepLines w:val="0"/>
      </w:pPr>
      <w:r>
        <w:rPr>
          <w:rFonts w:ascii="Noto Sans" w:hAnsi="Noto Sans" w:eastAsia="Arial Unicode MS" w:cs="Noto Sans"/>
          <w:b w:val="0"/>
        </w:rPr>
        <w:t>La información sobre el agente designado bajo la DMCA de EE. UU., los detalles de la entidad de ventas bajo la Ley de Transacciones Comerciales Específicas de Japón y la información de la entidad operativa/permisos en China continental se divulgarán en una página separada una vez que se cumplan las condiciones formales.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de Uso de Productos y Servicios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