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w:b/>
          <w:color w:val="142032"/>
          <w:sz w:val="40"/>
        </w:rPr>
        <w:t>Política de Privacidad de DAWNBLOOM</w:t>
      </w:r>
    </w:p>
    <w:p>
      <w:pPr>
        <w:keepLines w:val="0"/>
      </w:pPr>
      <w:r>
        <w:rPr>
          <w:rFonts w:ascii="Noto Sans" w:hAnsi="Noto Sans" w:eastAsia="Noto Sans TC" w:cs="Noto Sans"/>
          <w:b w:val="0"/>
        </w:rPr>
        <w:t>Español · V7</w:t>
      </w:r>
    </w:p>
    <w:p>
      <w:pPr>
        <w:keepLines w:val="0"/>
      </w:pPr>
      <w:r>
        <w:rPr>
          <w:rFonts w:ascii="Noto Sans" w:hAnsi="Noto Sans" w:eastAsia="Noto Sans TC" w:cs="Noto Sans"/>
          <w:b w:val="0"/>
        </w:rPr>
        <w:t>Versión: V7</w:t>
      </w:r>
    </w:p>
    <w:p>
      <w:pPr>
        <w:keepLines w:val="0"/>
      </w:pPr>
      <w:r>
        <w:rPr>
          <w:rFonts w:ascii="Noto Sans" w:hAnsi="Noto Sans" w:eastAsia="Noto Sans TC" w:cs="Noto Sans"/>
          <w:b w:val="0"/>
        </w:rPr>
        <w:t>Actualizado: 9 de octubre de 2026</w:t>
      </w:r>
    </w:p>
    <w:p>
      <w:pPr>
        <w:keepLines w:val="0"/>
      </w:pPr>
      <w:r>
        <w:rPr>
          <w:rFonts w:ascii="Noto Sans" w:hAnsi="Noto Sans" w:eastAsia="Noto Sans TC" w:cs="Noto Sans"/>
          <w:b w:val="0"/>
        </w:rPr>
        <w:t>Fecha de entrada en vigor: 9 de octubre de 2026</w:t>
      </w:r>
    </w:p>
    <w:p>
      <w:pPr>
        <w:keepLines w:val="0"/>
      </w:pPr>
      <w:r>
        <w:rPr>
          <w:rFonts w:ascii="Noto Sans" w:hAnsi="Noto Sans" w:eastAsia="Noto Sans TC" w:cs="Noto Sans"/>
          <w:b w:val="0"/>
        </w:rPr>
        <w:t>Ámbito: sitio web, cuenta, juego, seis aplicaciones, comunidad, centro de jugadores y soporte.</w:t>
      </w:r>
    </w:p>
    <w:p>
      <w:pPr>
        <w:pStyle w:val="Heading1"/>
        <w:keepLines w:val="0"/>
      </w:pPr>
      <w:r>
        <w:rPr>
          <w:rFonts w:ascii="Noto Sans" w:hAnsi="Noto Sans" w:eastAsia="Noto Sans TC" w:cs="Noto Sans"/>
          <w:b w:val="0"/>
        </w:rPr>
        <w:t>Información de publicación y resumen de privacidad</w:t>
      </w:r>
    </w:p>
    <w:p>
      <w:pPr>
        <w:keepLines w:val="0"/>
      </w:pPr>
      <w:r>
        <w:rPr>
          <w:rFonts w:ascii="Noto Sans" w:hAnsi="Noto Sans" w:eastAsia="Noto Sans TC" w:cs="Noto Sans"/>
          <w:b w:val="0"/>
        </w:rPr>
        <w:t xml:space="preserve">Operador y responsable del tratamiento de datos personales: SHANGHAI LUMIREALM CREATIVE MEDIA CO., LTD. (nombre público en inglés). Sitio web oficial: </w:t>
      </w:r>
      <w:hyperlink r:id="rId11">
        <w:r>
          <w:rPr>
            <w:rFonts w:ascii="Noto Sans" w:hAnsi="Noto Sans" w:eastAsia="Noto Sans TC"/>
            <w:b w:val="0"/>
          </w:rPr>
          <w:t xml:space="preserve">https://dawnbloom.net.</w:t>
        </w:r>
      </w:hyperlink>
      <w:r>
        <w:rPr>
          <w:rFonts w:ascii="Noto Sans" w:hAnsi="Noto Sans" w:eastAsia="Noto Sans TC" w:cs="Noto Sans"/>
          <w:b w:val="0"/>
        </w:rPr>
        <w:t xml:space="preserve"> Dirección legal: Room 218, Building 3, No. 336 Tianjiao Road, Lin-gang Special Area of the China (Shanghai) Pilot Free Trade Zone, China. Privacidad y asuntos legales: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soporte general: </w:t>
      </w:r>
      <w:hyperlink r:id="rId13">
        <w:r>
          <w:rPr>
            <w:rFonts w:ascii="Noto Sans" w:hAnsi="Noto Sans" w:eastAsia="Noto Sans TC"/>
            <w:b w:val="0"/>
          </w:rPr>
          <w:t xml:space="preserve">support@dawnbloom.net</w:t>
        </w:r>
      </w:hyperlink>
      <w:r>
        <w:rPr>
          <w:rFonts w:ascii="Noto Sans" w:hAnsi="Noto Sans" w:eastAsia="Noto Sans TC" w:cs="Noto Sans"/>
          <w:b w:val="0"/>
        </w:rPr>
        <w:t xml:space="preserve">; incidentes de seguridad: </w:t>
      </w:r>
      <w:hyperlink r:id="rId14">
        <w:r>
          <w:rPr>
            <w:rFonts w:ascii="Noto Sans" w:hAnsi="Noto Sans" w:eastAsia="Noto Sans TC"/>
            <w:b w:val="0"/>
          </w:rPr>
          <w:t xml:space="preserve">security@dawnbloom.net</w:t>
        </w:r>
      </w:hyperlink>
      <w:r>
        <w:rPr>
          <w:rFonts w:ascii="Noto Sans" w:hAnsi="Noto Sans" w:eastAsia="Noto Sans TC" w:cs="Noto Sans"/>
          <w:b w:val="0"/>
        </w:rPr>
        <w:t xml:space="preserve">.</w:t>
      </w:r>
    </w:p>
    <w:p>
      <w:pPr>
        <w:pStyle w:val="ListBullet"/>
        <w:keepLines w:val="0"/>
      </w:pPr>
      <w:r>
        <w:rPr>
          <w:rFonts w:ascii="Noto Sans" w:hAnsi="Noto Sans" w:eastAsia="Noto Sans TC" w:cs="Noto Sans"/>
          <w:b w:val="0"/>
        </w:rPr>
        <w:t>El juego en línea requiere el procesamiento de cuentas, personajes, interacciones sociales, activos y datos operativos necesarios en el servidor.</w:t>
      </w:r>
    </w:p>
    <w:p>
      <w:pPr>
        <w:pStyle w:val="ListBullet"/>
        <w:keepLines w:val="0"/>
      </w:pPr>
      <w:r>
        <w:rPr>
          <w:rFonts w:ascii="Noto Sans" w:hAnsi="Noto Sans" w:eastAsia="Noto Sans TC" w:cs="Noto Sans"/>
          <w:b w:val="0"/>
        </w:rPr>
        <w:t>El contenido privado central en DAWNBLOOM Browser, DAWNBLOOM Mail, DAWNBLOOM Download y DAWNBLOOM Archive se procesa primero localmente; los proveedores de correo y los destinos manejan independientemente las comunicaciones que solicite.</w:t>
      </w:r>
    </w:p>
    <w:p>
      <w:pPr>
        <w:pStyle w:val="ListBullet"/>
        <w:keepLines w:val="0"/>
      </w:pPr>
      <w:r>
        <w:rPr>
          <w:rFonts w:ascii="Noto Sans" w:hAnsi="Noto Sans" w:eastAsia="Noto Sans TC" w:cs="Noto Sans"/>
          <w:b w:val="0"/>
        </w:rPr>
        <w:t>Light Sync es opcional y cubre solo la configuración y los metadatos compatibles con ese producto. DAWNBLOOM News actualmente no ofrece Light Sync.</w:t>
      </w:r>
    </w:p>
    <w:p>
      <w:pPr>
        <w:pStyle w:val="ListBullet"/>
        <w:keepLines w:val="0"/>
      </w:pPr>
      <w:r>
        <w:rPr>
          <w:rFonts w:ascii="Noto Sans" w:hAnsi="Noto Sans" w:eastAsia="Noto Sans TC" w:cs="Noto Sans"/>
          <w:b w:val="0"/>
        </w:rPr>
        <w:t>Una cuenta compartida no hace que el contenido privado fluya automáticamente entre productos.</w:t>
      </w:r>
    </w:p>
    <w:p>
      <w:pPr>
        <w:pStyle w:val="ListBullet"/>
        <w:keepLines w:val="0"/>
      </w:pPr>
      <w:r>
        <w:rPr>
          <w:rFonts w:ascii="Noto Sans" w:hAnsi="Noto Sans" w:eastAsia="Noto Sans TC" w:cs="Noto Sans"/>
          <w:b w:val="0"/>
        </w:rPr>
        <w:t>No vendemos información personal ni creamos perfiles publicitarios cruzados entre productos. El sitio web utiliza estadísticas agregadas anónimas; los registros de seguridad necesarios se manejan por separado.</w:t>
      </w:r>
    </w:p>
    <w:p>
      <w:pPr>
        <w:pStyle w:val="ListBullet"/>
        <w:keepLines w:val="0"/>
      </w:pPr>
      <w:r>
        <w:rPr>
          <w:rFonts w:ascii="Noto Sans" w:hAnsi="Noto Sans" w:eastAsia="Noto Sans TC" w:cs="Noto Sans"/>
          <w:b w:val="0"/>
        </w:rPr>
        <w:t>Iniciar sesión no carga automáticamente correos, archivos descargados o archivos archivados a DAWNBLOOM.</w:t>
      </w:r>
    </w:p>
    <w:p>
      <w:pPr>
        <w:pStyle w:val="ListBullet"/>
        <w:keepLines w:val="0"/>
      </w:pPr>
      <w:r>
        <w:rPr>
          <w:rFonts w:ascii="Noto Sans" w:hAnsi="Noto Sans" w:eastAsia="Noto Sans TC" w:cs="Noto Sans"/>
          <w:b w:val="0"/>
        </w:rPr>
        <w:t>Los proveedores de pago gestionan las credenciales de pago. Retenemos registros necesarios de pedidos, reembolsos y soporte, pero no números completos de tarjeta ni contraseñas de pago.</w:t>
      </w:r>
    </w:p>
    <w:p>
      <w:pPr>
        <w:pStyle w:val="ListBullet"/>
        <w:keepLines w:val="0"/>
      </w:pPr>
      <w:r>
        <w:rPr>
          <w:rFonts w:ascii="Noto Sans" w:hAnsi="Noto Sans" w:eastAsia="Noto Sans TC" w:cs="Noto Sans"/>
          <w:b w:val="0"/>
        </w:rPr>
        <w:t>Puede gestionar su cuenta, datos sincronizados y locales, y ejercer sus derechos de privacidad según la ley aplicable.</w:t>
      </w:r>
    </w:p>
    <w:p>
      <w:pPr>
        <w:pStyle w:val="Heading1"/>
        <w:keepLines w:val="0"/>
      </w:pPr>
      <w:r>
        <w:rPr>
          <w:rFonts w:ascii="Noto Sans" w:hAnsi="Noto Sans" w:eastAsia="Noto Sans TC" w:cs="Noto Sans"/>
          <w:b w:val="0"/>
        </w:rPr>
        <w:t>1. Ámbito de aplicación</w:t>
      </w:r>
    </w:p>
    <w:p>
      <w:pPr>
        <w:keepLines w:val="0"/>
      </w:pPr>
      <w:r>
        <w:rPr>
          <w:rFonts w:ascii="Noto Sans" w:hAnsi="Noto Sans" w:eastAsia="Noto Sans TC" w:cs="Noto Sans"/>
          <w:b w:val="0"/>
        </w:rPr>
        <w:t xml:space="preserve">Esta Política cubre dawnbloom.net, los subdominios oficiales de servicios, la Cuenta DAWNBLOOM, el juego, seis aplicaciones, Chasers’ Square, Soporte, la Hada, los minijuegos web y el Centro de Jugadores, así como las entradas de redirección de idioma regional dawnbloom.com.cn y dawnbloom.jp con sus entradas www. Las entradas oficiales en coreano dawnbloom.kr y www.dawnbloom.kr utilizan redirecciones 301 HTTPS hacia </w:t>
      </w:r>
      <w:hyperlink r:id="rId15">
        <w:r>
          <w:rPr>
            <w:rFonts w:ascii="Noto Sans" w:hAnsi="Noto Sans" w:eastAsia="Noto Sans TC"/>
            <w:b w:val="0"/>
          </w:rPr>
          <w:t xml:space="preserve">https://dawnbloom.net/kr/.</w:t>
        </w:r>
      </w:hyperlink>
      <w:r>
        <w:rPr>
          <w:rFonts w:ascii="Noto Sans" w:hAnsi="Noto Sans" w:eastAsia="Noto Sans TC" w:cs="Noto Sans"/>
          <w:b w:val="0"/>
        </w:rPr>
        <w:t xml:space="preserve"> Los cambios de DNS pueden tardar en propagarse. Utilizan el sitio web unificado y no crean un sitio web separado, cuenta, base de datos ni servidor de juego coreano. Ambas entradas regionales son abiertas y utilizan redirecciones 301 HTTPS de Cloudflare hacia las rutas principales del sitio en chino y japonés respectivamente. Las entradas regionales no crean cuentas, bases de datos o controladores de información personal separados y no migran datos de jugadores. Las entradas existentes de protección de marca siguen figurando en el aviso antifraude. Las solicitudes de redirección aún implican direcciones IP, encabezados y datos de conexión necesarios; las respuestas de Cloudflare de ambas entradas también contienen configuración de reporte de errores de red. Por lo tanto, una redirección no establece la ausencia de procesamiento. Los registros específicos de servicios perimetrales, configuraciones de seguridad y retención requieren verificación contra la configuración real del servicio, y esta Política no hace ninguna afirmación de cero procesamiento.</w:t>
      </w:r>
    </w:p>
    <w:p>
      <w:pPr>
        <w:keepLines w:val="0"/>
      </w:pPr>
      <w:r>
        <w:rPr>
          <w:rFonts w:ascii="Noto Sans" w:hAnsi="Noto Sans" w:eastAsia="Noto Sans TC" w:cs="Noto Sans"/>
          <w:b w:val="0"/>
        </w:rPr>
        <w:t>Las funciones, plataformas y disponibilidad reales siguen las páginas oficiales de productos y los avisos de lanzamiento. Esta Política describe las funciones proporcionadas y sus límites de datos; un plan no es un servicio disponible. Los sitios web de terceros, proveedores de correo, fuentes de noticias, tiendas y plataformas de pago son operados independientemente y sus reglas de privacidad también se aplican.</w:t>
      </w:r>
    </w:p>
    <w:p>
      <w:pPr>
        <w:pStyle w:val="Heading1"/>
        <w:keepLines w:val="0"/>
      </w:pPr>
      <w:r>
        <w:rPr>
          <w:rFonts w:ascii="Noto Sans" w:hAnsi="Noto Sans" w:eastAsia="Noto Sans TC" w:cs="Noto Sans"/>
          <w:b w:val="0"/>
        </w:rPr>
        <w:t>2. Principios de privacidad, propósitos y límites entre productos</w:t>
      </w:r>
    </w:p>
    <w:p>
      <w:pPr>
        <w:keepLines w:val="0"/>
      </w:pPr>
      <w:r>
        <w:rPr>
          <w:rFonts w:ascii="Noto Sans" w:hAnsi="Noto Sans" w:eastAsia="Noto Sans TC" w:cs="Noto Sans"/>
          <w:b w:val="0"/>
        </w:rPr>
        <w:t>Procesamos información para fines definidos y dentro del alcance mínimo necesario. Local first no significa que todos los servicios DAWNBLOOM estén fuera de línea: la cuenta, el juego en línea, la comunidad pública, los pedidos, Light Sync y el soporte necesario requieren servidores. Esto no extiende la recopilación a archivos locales o contenido privado. Una cuenta compartida no permite que el juego lea correos, que el correo lea el historial de navegación, que las noticias lean buzones de terceros o que Descarga lea chats del juego. Un archivo abierto, compartido o entrega de producto que usted inicia procesa solo lo que esa acción necesita.</w:t>
      </w:r>
    </w:p>
    <w:p>
      <w:pPr>
        <w:keepLines w:val="0"/>
      </w:pPr>
      <w:r>
        <w:rPr>
          <w:rFonts w:ascii="Noto Sans" w:hAnsi="Noto Sans" w:eastAsia="Noto Sans TC" w:cs="Noto Sans"/>
          <w:b w:val="0"/>
        </w:rPr>
        <w:t>Los propósitos incluyen funciones solicitadas, autenticación y recuperación, sincronización ligera, interacción con el juego y liquidación de activos, entrega de pedidos y soporte, seguridad y prevención de abusos, resolución de problemas, estadísticas anónimas del servicio y obligaciones legales. Según la situación, el procesamiento se basa en la necesidad del servicio, deberes legales, protección legítima de la seguridad y derechos legítimos, o su consentimiento. Se completan el consentimiento por separado, la protección especial y otros procedimientos requeridos donde corresponda.</w:t>
      </w:r>
    </w:p>
    <w:p>
      <w:pPr>
        <w:keepLines w:val="0"/>
      </w:pPr>
      <w:r>
        <w:rPr>
          <w:rFonts w:ascii="Noto Sans" w:hAnsi="Noto Sans" w:eastAsia="Noto Sans TC" w:cs="Noto Sans"/>
          <w:b w:val="0"/>
        </w:rPr>
        <w:t>El uso ordinario de cuentas y productos generalmente no requiere documentos de identidad gubernamentales. Para nuestras propias operaciones, no recopilamos por defecto ubicación GPS precisa, contactos, datos de salud o biométricos, números completos de tarjetas, contraseñas de pago, IDs de publicidad, huellas digitales permanentes innecesarias del dispositivo ni contenidos de archivos privados. Cuando sea genuinamente necesario por ley, reembolso a un menor, disputa o recuperación de alto riesgo, podemos solicitar legalmente pruebas limitadas con propósitos y accesos restringidos. Por favor, oculte la información no relacionada.</w:t>
      </w:r>
    </w:p>
    <w:p>
      <w:pPr>
        <w:pStyle w:val="Heading1"/>
        <w:keepLines w:val="0"/>
      </w:pPr>
      <w:r>
        <w:rPr>
          <w:rFonts w:ascii="Noto Sans" w:hAnsi="Noto Sans" w:eastAsia="Noto Sans TC" w:cs="Noto Sans"/>
          <w:b w:val="0"/>
        </w:rPr>
        <w:t>3. Categorías de información y ubicaciones principales</w:t>
      </w:r>
    </w:p>
    <w:p>
      <w:pPr>
        <w:keepLines w:val="0"/>
      </w:pPr>
      <w:r>
        <w:rPr>
          <w:rFonts w:ascii="Noto Sans" w:hAnsi="Noto Sans" w:eastAsia="Noto Sans TC" w:cs="Noto Sans"/>
          <w:b w:val="0"/>
        </w:rPr>
        <w:t>Cuenta y seguridad: el nombre de cuenta, correo electrónico, hashes de contraseña, región e idioma, registros de verificación y consentimiento, sesiones, dispositivos de confianza, estado multifactor y registros necesarios de inicio de sesión o recuperación son manejados principalmente por los servicios de cuenta. Juego y comunidad: personajes, activos, interacciones, contenido público, moderación y estado operativo necesario son manejados por el servicio en línea relevante.</w:t>
      </w:r>
    </w:p>
    <w:p>
      <w:pPr>
        <w:keepLines w:val="0"/>
      </w:pPr>
      <w:r>
        <w:rPr>
          <w:rFonts w:ascii="Noto Sans" w:hAnsi="Noto Sans" w:eastAsia="Noto Sans TC" w:cs="Noto Sans"/>
          <w:b w:val="0"/>
        </w:rPr>
        <w:t>Contenido privado local: datos de navegación y sitio, cachés de correo y credenciales del proveedor, archivos descargados y parciales, archivos archivados, contenido extraído y rutas locales son manejados principalmente por el dispositivo y su fuente o proveedor elegido. Light Sync maneja configuraciones permitidas y metadatos cuando está habilitado. Los pedidos y soporte incluyen instantáneas de pedido, estado de reembolso, identificadores de solicitud, su explicación y pruebas necesarias en servicios de soporte restringidos. Las estadísticas anónimas y los registros de seguridad tienen diferentes campos, propósitos y períodos de retención, como se explica en las Secciones 15, 19 y 20.</w:t>
      </w:r>
    </w:p>
    <w:p>
      <w:pPr>
        <w:pStyle w:val="Heading1"/>
        <w:keepLines w:val="0"/>
      </w:pPr>
      <w:r>
        <w:rPr>
          <w:rFonts w:ascii="Noto Sans" w:hAnsi="Noto Sans" w:eastAsia="Noto Sans TC" w:cs="Noto Sans"/>
          <w:b w:val="0"/>
        </w:rPr>
        <w:t>4. Cuenta y seguridad de DAWNBLOOM</w:t>
      </w:r>
    </w:p>
    <w:p>
      <w:pPr>
        <w:keepLines w:val="0"/>
      </w:pPr>
      <w:r>
        <w:rPr>
          <w:rFonts w:ascii="Noto Sans" w:hAnsi="Noto Sans" w:eastAsia="Noto Sans TC" w:cs="Noto Sans"/>
          <w:b w:val="0"/>
        </w:rPr>
        <w:t>El registro normalmente requiere un nombre de cuenta, contraseña y confirmación, correo electrónico, la región legal seleccionada y las opciones de política requeridas; actualmente no se requiere un número de teléfono. El idioma de la interfaz o una sugerencia basada en IP no sustituyen su elección de región legal. Las contraseñas utilizan hashes irreversibles con sal, no almacenamiento en texto plano. La seguridad y recuperación pueden procesar hashes y vinculaciones históricas limitadas, verificación por correo electrónico, identificadores de dispositivo y sesión, vinculación de DAWNBLOOM Token, autenticación multifactor, desvinculación de emergencia, ubicaciones de inicio de sesión a nivel de país/región y ciudad, inicios de sesión anómalos y auditorías necesarias. Estos datos no se utilizan para perfiles publicitarios; las ubicaciones a nivel de ciudad no son GPS preciso.</w:t>
      </w:r>
    </w:p>
    <w:p>
      <w:pPr>
        <w:keepLines w:val="0"/>
      </w:pPr>
      <w:r>
        <w:rPr>
          <w:rFonts w:ascii="Noto Sans" w:hAnsi="Noto Sans" w:eastAsia="Noto Sans TC" w:cs="Noto Sans"/>
          <w:b w:val="0"/>
        </w:rPr>
        <w:t>Las cuentas de juego y los servicios relacionados requieren que los usuarios tengan 18 años o más. Fuera de China continental, el registro utiliza una selección activa de rango de edad, sin fecha de nacimiento completa ni cumpleaños inventado. Cuando se ofrecen el registro en China continental y la elegibilidad por edad, los nombres y fechas de nacimiento enviados se cifran y procesan dentro de China; Tokio solo recibe la referencia del registro local, el resultado de elegibilidad adulta y los registros de confirmación, no los campos originales. El cálculo basado en la información enviada no es una verificación de identidad de base de datos gubernamental. La disponibilidad del registro regional sigue el servicio de cuentas disponible en ese momento. Las funciones principales de la aplicación sin cuenta no requieren datos de edad para juegos por ello.</w:t>
      </w:r>
    </w:p>
    <w:p>
      <w:pPr>
        <w:pStyle w:val="Heading1"/>
        <w:keepLines w:val="0"/>
      </w:pPr>
      <w:r>
        <w:rPr>
          <w:rFonts w:ascii="Noto Sans" w:hAnsi="Noto Sans" w:eastAsia="Noto Sans TC" w:cs="Noto Sans"/>
          <w:b w:val="0"/>
        </w:rPr>
        <w:t>5. Light Sync opcional y límites del producto</w:t>
      </w:r>
    </w:p>
    <w:p>
      <w:pPr>
        <w:keepLines w:val="0"/>
      </w:pPr>
      <w:r>
        <w:rPr>
          <w:rFonts w:ascii="Noto Sans" w:hAnsi="Noto Sans" w:eastAsia="Noto Sans TC" w:cs="Noto Sans"/>
          <w:b w:val="0"/>
        </w:rPr>
        <w:t>Light Sync es la sincronización de luz que habilitas para un producto. Maneja los ajustes soportados y metadatos limitados de ese producto, no el almacenamiento de nube drive, correo, historial de navegación, archivos descargados o repositorios de archivo. Las funciones principales de DAWNBLOOM Browser, Mail, Download y Archive no requieren DAWNBLOOM Account; las funciones de cuenta, juego y seguridad de cuenta requieren autenticación por sí mismas. Los datos del producto están separados por función. Iniciar sesión en un producto no autoriza a otros a leer contenido privado.</w:t>
      </w:r>
    </w:p>
    <w:p>
      <w:pPr>
        <w:keepLines w:val="0"/>
      </w:pPr>
      <w:r>
        <w:rPr>
          <w:rFonts w:ascii="Noto Sans" w:hAnsi="Noto Sans" w:eastAsia="Noto Sans TC" w:cs="Noto Sans"/>
          <w:b w:val="0"/>
        </w:rPr>
        <w:t>Desactivar la sincronización de luz detiene la sincronización futura; no borra automáticamente los datos existentes en la nube o locales. Correo ofrece actualmente un control de borrado por sincronización en la nube que elimina sus configuraciones de luz y desactiva la sincronización, conservando las cuentas de correo locales, mensajes, configuraciones y credenciales. Utilice un control correspondiente en otro producto solo donde esté realmente disponible; de lo contrario, realice una solicitud de privacidad conforme a la Sección 22. Cerrar sesión difiere del borrado: Correo conserva las conexiones de terceros y las cachés locales, Descarga y Archivo conservan los archivos locales, y los datos del Navegador siguen los controles locales. El cierre definitivo de cuenta gestiona los datos asociados en la nube conforme a la Sección 21; no borra los archivos del dispositivo ni los datos de un proveedor de terceros.</w:t>
      </w:r>
    </w:p>
    <w:p>
      <w:pPr>
        <w:pStyle w:val="Heading1"/>
        <w:keepLines w:val="0"/>
      </w:pPr>
      <w:r>
        <w:rPr>
          <w:rFonts w:ascii="Noto Sans" w:hAnsi="Noto Sans" w:eastAsia="Noto Sans TC" w:cs="Noto Sans"/>
          <w:b w:val="0"/>
        </w:rPr>
        <w:t>6. Juego en línea y Plaza de Aventureros</w:t>
      </w:r>
    </w:p>
    <w:p>
      <w:pPr>
        <w:keepLines w:val="0"/>
      </w:pPr>
      <w:r>
        <w:rPr>
          <w:rFonts w:ascii="Noto Sans" w:hAnsi="Noto Sans" w:eastAsia="Noto Sans TC" w:cs="Noto Sans"/>
          <w:b w:val="0"/>
        </w:rPr>
        <w:t>El juego en línea DAWNBLOOM requiere el procesamiento del servidor de cuentas, personajes, niveles, inventario, equipo, Bestias Fantasma, tareas y eventos actuales, estado de combate necesario, habilidades laborales, amigos, equipos, familias, matrimonio, chat, correo de mensajería, comercio, economía, clasificaciones, enlaces de pedidos y registros de seguridad. Los nombres de personaje, detalles públicos de personaje, chat e información de transacciones pueden ser visibles para jugadores interactuantes. La información pública del museo se distribuye a través de una red de entrega de contenido; verla no carga contenido privado de otras aplicaciones.</w:t>
      </w:r>
    </w:p>
    <w:p>
      <w:pPr>
        <w:keepLines w:val="0"/>
      </w:pPr>
      <w:r>
        <w:rPr>
          <w:rFonts w:ascii="Noto Sans" w:hAnsi="Noto Sans" w:eastAsia="Noto Sans TC" w:cs="Noto Sans"/>
          <w:b w:val="0"/>
        </w:rPr>
        <w:t>El chat en tiempo real ordinario se retiene por defecto durante 7 días. Las pruebas directamente necesarias para incidentes de seguridad, informes, disputas o deberes legales pueden retenerse por más tiempo en el ámbito mínimo necesario. El correo de mensajería mostrado y los libros mayores de entrega de artículos/divisas pueden tener períodos diferentes. Los flujos de activos apoyan investigaciones de robo, duplicación, transacciones anómalas, explotación de bugs, fraude y reembolsos abusivos, no marketing. La traducción automática de chat de juegos no está formalmente habilitada; antes de habilitarla divulgaremos el proveedor, el texto necesario y las transferencias internacionales y completaremos el aviso y consentimiento aplicables.</w:t>
      </w:r>
    </w:p>
    <w:p>
      <w:pPr>
        <w:keepLines w:val="0"/>
      </w:pPr>
      <w:r>
        <w:rPr>
          <w:rFonts w:ascii="Noto Sans" w:hAnsi="Noto Sans" w:eastAsia="Noto Sans TC" w:cs="Noto Sans"/>
          <w:b w:val="0"/>
        </w:rPr>
        <w:t>La Plaza de Aventureros procesa publicaciones, respuestas, nombres de usuario públicos o información de personajes, reportes, moderación y registros de seguridad comunitaria. Otros pueden ver, copiar o compartir contenido público; evite publicar detalles privados innecesarios. Dawnbloom Guide procesa su pregunta y el contexto necesario cuando solicita ayuda. Los detalles de cuenta o privados que escriba pueden convertirse parte de esa solicitud. No obtiene acceso por ello a archivos, correo o historiales de navegación de otras aplicaciones.</w:t>
      </w:r>
    </w:p>
    <w:p>
      <w:pPr>
        <w:pStyle w:val="Heading1"/>
        <w:keepLines w:val="0"/>
      </w:pPr>
      <w:r>
        <w:rPr>
          <w:rFonts w:ascii="Noto Sans" w:hAnsi="Noto Sans" w:eastAsia="Noto Sans TC" w:cs="Noto Sans"/>
          <w:b w:val="0"/>
        </w:rPr>
        <w:t>7. DAWNBLOOM Browser</w:t>
      </w:r>
    </w:p>
    <w:p>
      <w:pPr>
        <w:keepLines w:val="0"/>
      </w:pPr>
      <w:r>
        <w:rPr>
          <w:rFonts w:ascii="Noto Sans" w:hAnsi="Noto Sans" w:eastAsia="Noto Sans TC" w:cs="Noto Sans"/>
          <w:b w:val="0"/>
        </w:rPr>
        <w:t>La navegación básica no requiere cuenta. Por defecto, el historial, las pestañas, las cookies, las contraseñas, el contenido de las páginas, el historial de búsqueda, las sesiones privadas, el almacenamiento local del sitio web y los archivos descargados se gestionan en el dispositivo y están excluidos de Light Sync. La sincronización opcional actual admite marcadores y configuraciones limitadas de plataformas publicadas, como tema, motor de búsqueda y preferencias de bloqueo de anuncios. Los marcadores pueden incluir título, URL, carpeta, ordenación y hora de modificación. Las configuraciones disponibles varían según la plataforma y siguen las opciones de sincronización de la versión real; esto no es una sincronización completa de datos de navegación.</w:t>
      </w:r>
    </w:p>
    <w:p>
      <w:pPr>
        <w:keepLines w:val="0"/>
      </w:pPr>
      <w:r>
        <w:rPr>
          <w:rFonts w:ascii="Noto Sans" w:hAnsi="Noto Sans" w:eastAsia="Noto Sans TC" w:cs="Noto Sans"/>
          <w:b w:val="0"/>
        </w:rPr>
        <w:t>Al abrir una página o buscar, tu dispositivo se conecta directamente al sitio o proveedor de búsqueda elegido, que puede recibir la IP, la consulta, las cookies y los datos necesarios del dispositivo. Los permisos de sitio web que otorgas son controlados por el SO y el navegador. Los datos de la sesión privada se excluyen del historial ordinario y se borran dentro de las capacidades del navegador/SO; esto no garantiza el anonimato ante sitios, proveedores de red u el SO. La traducción iniciada por el usuario en Android utiliza Google ML Kit en el dispositivo para el texto de la página y la salida, descargando modelos según sea necesario. Los SDK de Google pueden manejar independientemente los metadatos necesarios del dispositivo, la aplicación, el modelo, el idioma, el rendimiento y los errores; esto no significa que el texto de la página se cargue para la traducción.</w:t>
      </w:r>
    </w:p>
    <w:p>
      <w:pPr>
        <w:pStyle w:val="Heading1"/>
        <w:keepLines w:val="0"/>
      </w:pPr>
      <w:r>
        <w:rPr>
          <w:rFonts w:ascii="Noto Sans" w:hAnsi="Noto Sans" w:eastAsia="Noto Sans TC" w:cs="Noto Sans"/>
          <w:b w:val="0"/>
        </w:rPr>
        <w:t>8. DAWNBLOOM News</w:t>
      </w:r>
    </w:p>
    <w:p>
      <w:pPr>
        <w:keepLines w:val="0"/>
      </w:pPr>
      <w:r>
        <w:rPr>
          <w:rFonts w:ascii="Noto Sans" w:hAnsi="Noto Sans" w:eastAsia="Noto Sans TC" w:cs="Noto Sans"/>
          <w:b w:val="0"/>
        </w:rPr>
        <w:t>News es un lector de noticias públicas globales unificado. Gestionamos títulos, resúmenes, fuentes, autores, marcas de tiempo, imágenes y URLs originales, categorías y metadatos necesarios procedentes de fuentes públicas de terceros, distribuyendo listas a través de servicios de entrega de contenido. La lectura, los elementos guardados, las preferencias, las recomendaciones locales y la extracción de Reader admitida se realizan principalmente en el dispositivo. Por defecto, no se cargan los historiales completos de lectura, los rastros artículo por artículo, los historiales completos de búsqueda, las copias privadas de artículos ni las credenciales de cuentas de origen. No conservamos los artículos completos de terceros como copias privadas en su nube. Light Sync no está disponible actualmente; la sincronización planificada de elementos guardados o preferencias no es un procesamiento actual.</w:t>
      </w:r>
    </w:p>
    <w:p>
      <w:pPr>
        <w:keepLines w:val="0"/>
      </w:pPr>
      <w:r>
        <w:rPr>
          <w:rFonts w:ascii="Noto Sans" w:hAnsi="Noto Sans" w:eastAsia="Noto Sans TC" w:cs="Noto Sans"/>
          <w:b w:val="0"/>
        </w:rPr>
        <w:t>Abrir un artículo original o una imagen de origen puede permitir que esa fuente procese la dirección IP, cookies, detalles del dispositivo y registros de acceso según su política; esta Política no lo reemplaza. News puede contar localmente las aperturas y aperturas de interfaces de lectura o búsqueda sin contenido. Los interruptores de carga de estadísticas de la aplicación están desactivados de forma predeterminada en las versiones oficiales; una interfaz de servicio reservada no establece rastros de lectura cargados. Las solicitudes de sitio web, feed, modelo y descarga de software siguen creando solicitudes de red normales y registros de seguridad necesarios.</w:t>
      </w:r>
    </w:p>
    <w:p>
      <w:pPr>
        <w:pStyle w:val="Heading1"/>
        <w:keepLines w:val="0"/>
      </w:pPr>
      <w:r>
        <w:rPr>
          <w:rFonts w:ascii="Noto Sans" w:hAnsi="Noto Sans" w:eastAsia="Noto Sans TC" w:cs="Noto Sans"/>
          <w:b w:val="0"/>
        </w:rPr>
        <w:t>9. DAWNBLOOM Mail</w:t>
      </w:r>
    </w:p>
    <w:p>
      <w:pPr>
        <w:keepLines w:val="0"/>
      </w:pPr>
      <w:r>
        <w:rPr>
          <w:rFonts w:ascii="Noto Sans" w:hAnsi="Noto Sans" w:eastAsia="Noto Sans TC" w:cs="Noto Sans"/>
          <w:b w:val="0"/>
        </w:rPr>
        <w:t>Mail es un cliente de terceros con conexiones en vivo al proveedor. Los mensajes viajan principalmente entre tu dispositivo y el proveedor elegido; abrir o volver al primer plano puede comprobar directamente si hay nuevos correos. DAWNBLOOM no consulta tu buzón desde Tokio ni utiliza sus servidores como repositorios de cuerpos, archivos adjuntos, mensajes completos o índices, búsquedas, contraseñas de correo o credenciales de autorización del proveedor. Las cachés y borradores se cifran localmente. Las contraseñas del proveedor, códigos de autorización, contraseñas específicas de la aplicación y credenciales de acceso/actualización de OAuth utilizan el almacenamiento seguro del dispositivo y están excluidas de Light Sync. Los métodos de conexión dependen del proveedor y de la plataforma lanzada admitida.</w:t>
      </w:r>
    </w:p>
    <w:p>
      <w:pPr>
        <w:keepLines w:val="0"/>
      </w:pPr>
      <w:r>
        <w:rPr>
          <w:rFonts w:ascii="Noto Sans" w:hAnsi="Noto Sans" w:eastAsia="Noto Sans TC" w:cs="Noto Sans"/>
          <w:b w:val="0"/>
        </w:rPr>
        <w:t>La sincronización ligera opcional puede incluir actualmente tema, idioma, diseño, anchos de columna, fuente y densidad, gestos de deslizamiento, preferencias de notificación, firma, reglas ligeras, remitente predeterminado, carpetas fijadas, pistas de cuenta enmascarada, nombres de visualización, colores y orden. Las firmas y reglas pueden contener texto limitado que usted ingresa; esto no es sincronización de cuerpo de mensaje. Un nuevo dispositivo restaura la configuración ligera y las pistas de cuenta y debe autorizar o conectar nuevamente el proveedor. Las notificaciones, selección de archivos adjuntos y archivos locales usan solo los permisos necesarios para la función real, no contactos ni ubicación precisa. Los conteos de uso local no contienen mensajes ni contenido de búsqueda; la carga de estadísticas oficiales de la aplicación está actualmente deshabilitada.</w:t>
      </w:r>
    </w:p>
    <w:p>
      <w:pPr>
        <w:pStyle w:val="Heading1"/>
        <w:keepLines w:val="0"/>
      </w:pPr>
      <w:r>
        <w:rPr>
          <w:rFonts w:ascii="Noto Sans" w:hAnsi="Noto Sans" w:eastAsia="Noto Sans TC" w:cs="Noto Sans"/>
          <w:b w:val="0"/>
        </w:rPr>
        <w:t>10. DAWNBLOOM Download y tareas entre dispositivos</w:t>
      </w:r>
    </w:p>
    <w:p>
      <w:pPr>
        <w:keepLines w:val="0"/>
      </w:pPr>
      <w:r>
        <w:rPr>
          <w:rFonts w:ascii="Noto Sans" w:hAnsi="Noto Sans" w:eastAsia="Noto Sans TC" w:cs="Noto Sans"/>
          <w:b w:val="0"/>
        </w:rPr>
        <w:t>La descarga central no requiere cuenta; los archivos viajan directamente desde la fuente hasta el dispositivo, sin un reenvío de archivos de DAWNBLOOM. Las tareas, los archivos completados y parciales, los fragmentos y las rutas de guardado reales permanecen locales. Las versiones publicadas admiten cuenta opcional y Light Sync para tema, idioma, diseño, elección de directorio lógico, concurrencia y preferencias de notificación. Un directorio lógico no es la ruta real del dispositivo. Si habilita por separado las tareas entre dispositivos, la sincronización puede incluir identificador de tarea, protocolo, nombre de visualización, identificador público seguro de la fuente, tamaño, tiempos de creación/modificación y resumen de estado. Un nombre o una fuente pueden revelar lo que descarga; elija la compartición de tareas en consecuencia.</w:t>
      </w:r>
    </w:p>
    <w:p>
      <w:pPr>
        <w:keepLines w:val="0"/>
      </w:pPr>
      <w:r>
        <w:rPr>
          <w:rFonts w:ascii="Noto Sans" w:hAnsi="Noto Sans" w:eastAsia="Noto Sans TC" w:cs="Noto Sans"/>
          <w:b w:val="0"/>
        </w:rPr>
        <w:t>Las tareas entre dispositivos no transfieren archivos: otro dispositivo descarga nuevamente desde la fuente original. Los archivos completos, fragmentos, contenidos locales, cookies, encabezados de autorización, tokens de URL sensibles, credenciales de rastreadores privados y rutas locales están excluidos de Light Sync. El filtrado de fuentes rechaza identificadores sensibles o inseguros; las tareas no compatibles permanecen locales. Las direcciones y autenticación FTP, FTPS y SFTP se utilizan solo para conectarse a su servidor especificado. Las contraseñas o claves privadas siguen la protección de credenciales del lado del dispositivo y las necesidades de la tarea, no Light Sync; otro dispositivo puede necesitar que se ingresen nuevamente.</w:t>
      </w:r>
    </w:p>
    <w:p>
      <w:pPr>
        <w:keepLines w:val="0"/>
      </w:pPr>
      <w:r>
        <w:rPr>
          <w:rFonts w:ascii="Noto Sans" w:hAnsi="Noto Sans" w:eastAsia="Noto Sans TC" w:cs="Noto Sans"/>
          <w:b w:val="0"/>
        </w:rPr>
        <w:t>Con BT, Magnet, ED2K u otras redes peer-to-peer, su dirección IP, puerto e identificadores de protocolo necesarios pueden ser visibles para trackers, redes distribuidas, pares o nodos ED2K. Su servidor de archivos seleccionado también procesa la información de conexión. Esto no es una garantía de descarga anónima. Una VPN de terceros sigue sus propias reglas de red; DAWNBLOOM no garantiza su anonimato.</w:t>
      </w:r>
    </w:p>
    <w:p>
      <w:pPr>
        <w:pStyle w:val="Heading1"/>
        <w:keepLines w:val="0"/>
      </w:pPr>
      <w:r>
        <w:rPr>
          <w:rFonts w:ascii="Noto Sans" w:hAnsi="Noto Sans" w:eastAsia="Noto Sans TC" w:cs="Noto Sans"/>
          <w:b w:val="0"/>
        </w:rPr>
        <w:t>11. DAWNBLOOM Archive</w:t>
      </w:r>
    </w:p>
    <w:p>
      <w:pPr>
        <w:keepLines w:val="0"/>
      </w:pPr>
      <w:r>
        <w:rPr>
          <w:rFonts w:ascii="Noto Sans" w:hAnsi="Noto Sans" w:eastAsia="Noto Sans TC" w:cs="Noto Sans"/>
          <w:b w:val="0"/>
        </w:rPr>
        <w:t>La compresión y extracción no requieren cuenta. Los archivos, estructuras de directorio, nombres, contenido, contraseñas de archivos comprimidos, rutas reales y archivos temporales se procesan en el dispositivo, sin subirlos para extracción en la nube, escaneo o análisis de archivos del servidor. Los selectores de archivos o los permisos de archivo genuinamente requeridos determinan el acceso. La actual sincronización ligera solo admite idioma, formato de archivo comprimido predeterminado y preajuste de compresión, no archivos, rutas, listas de nombres de archivos, contraseñas, contenidos extraídos o archivos temporales. Cerrar sesión o desactivar la sincronización no elimina los archivos locales.</w:t>
      </w:r>
    </w:p>
    <w:p>
      <w:pPr>
        <w:pStyle w:val="Heading1"/>
        <w:keepLines w:val="0"/>
      </w:pPr>
      <w:r>
        <w:rPr>
          <w:rFonts w:ascii="Noto Sans" w:hAnsi="Noto Sans" w:eastAsia="Noto Sans TC" w:cs="Noto Sans"/>
          <w:b w:val="0"/>
        </w:rPr>
        <w:t>12. DAWNBLOOM Token y contenido de referencia</w:t>
      </w:r>
    </w:p>
    <w:p>
      <w:pPr>
        <w:keepLines w:val="0"/>
      </w:pPr>
      <w:r>
        <w:rPr>
          <w:rFonts w:ascii="Noto Sans" w:hAnsi="Noto Sans" w:eastAsia="Noto Sans TC" w:cs="Noto Sans"/>
          <w:b w:val="0"/>
        </w:rPr>
        <w:t>El Token utiliza la misma Cuenta DAWNBLOOM y gestiona el estado de vinculación, datos de seguridad de autenticación, información del dispositivo y auditorías de recuperación/desvinculación. Los códigos rotativos se generan localmente; la vinculación, verificación y el estado de seguridad aún requieren procesamiento del servicio. No retenemos cada código rotativo en texto plano en los registros de uso ordinario. Los datos de seguridad del Token se separan del correo, navegación y descargas, y no se utilizan para marketing.</w:t>
      </w:r>
    </w:p>
    <w:p>
      <w:pPr>
        <w:keepLines w:val="0"/>
      </w:pPr>
      <w:r>
        <w:rPr>
          <w:rFonts w:ascii="Noto Sans" w:hAnsi="Noto Sans" w:eastAsia="Noto Sans TC" w:cs="Noto Sans"/>
          <w:b w:val="0"/>
        </w:rPr>
        <w:t>La comunidad del Token sigue las reglas de la comunidad pública. El museo sirve principalmente contenido de referencia estática a través de una red de entrega. La búsqueda, favoritos y vistas recientes siguen las funciones de la versión actual; los registros locales no se convierten automáticamente en perfiles del servidor. Las solicitudes de referencias públicas o contenido de la comunidad envían consultas necesarias e información de red normal, sin obtener contenido privado de otras aplicaciones.</w:t>
      </w:r>
    </w:p>
    <w:p>
      <w:pPr>
        <w:pStyle w:val="Heading1"/>
        <w:keepLines w:val="0"/>
      </w:pPr>
      <w:r>
        <w:rPr>
          <w:rFonts w:ascii="Noto Sans" w:hAnsi="Noto Sans" w:eastAsia="Noto Sans TC" w:cs="Noto Sans"/>
          <w:b w:val="0"/>
        </w:rPr>
        <w:t>13. Pagos de pedidos, reembolsos y facturación</w:t>
      </w:r>
    </w:p>
    <w:p>
      <w:pPr>
        <w:keepLines w:val="0"/>
      </w:pPr>
      <w:r>
        <w:rPr>
          <w:rFonts w:ascii="Noto Sans" w:hAnsi="Noto Sans" w:eastAsia="Noto Sans TC" w:cs="Noto Sans"/>
          <w:b w:val="0"/>
        </w:rPr>
        <w:t>Las ventas y pagos del sitio web siguen los canales realmente abiertos. Los pedidos a través de Steam, Apple, WeChat Pay, Alipay u otros proveedores siguen ese canal y la ley aplicable; listar un proveedor no significa que todos los canales estén abiertos. Los proveedores gestionan las credenciales de pago; nuestra base de datos comercial no almacena números completos de tarjetas, contraseñas de pago ni credenciales completas de cuentas de pago. Podemos retener el número de pedido, artículo, monto, moneda, hora, canal, estado de pago/reembolso, entrega y capturas de tipo de cambio necesarias para el cumplimiento, conciliación, soporte, disputas y cumplimiento normativo. Las tasas públicas generalmente no son información personal, pero una versión de tasa, moneda y monto adjunta a un formulario de pedido forman parte de su registro de transacción.</w:t>
      </w:r>
    </w:p>
    <w:p>
      <w:pPr>
        <w:keepLines w:val="0"/>
      </w:pPr>
      <w:r>
        <w:rPr>
          <w:rFonts w:ascii="Noto Sans" w:hAnsi="Noto Sans" w:eastAsia="Noto Sans TC" w:cs="Noto Sans"/>
          <w:b w:val="0"/>
        </w:rPr>
        <w:t>La facturación maneja reembolsos ordinarios y menores, cargos no reconocidos y otras solicitudes, incluyendo identificador de solicitud, cuenta y correo electrónico de contacto, capturas de orden, moneda/monto, su explicación, estado y registros de revisión. Las narrativas permanecen en servicios de acceso restringido; el correo de notificación contiene solo resúmenes necesarios y un enlace de visualización, no explicaciones privadas completas ni evidencia. La presentación y revisión no significan ejecución automática de reembolso. La carga segura de archivos adjuntos no está actualmente abierta: no envíe documentos de identidad, contraseñas o detalles completos de tarjeta por correo electrónico. Si es necesario probar, siga primero un canal de soporte apropiado y el alcance solicitado mínimo.</w:t>
      </w:r>
    </w:p>
    <w:p>
      <w:pPr>
        <w:keepLines w:val="0"/>
      </w:pPr>
      <w:r>
        <w:rPr>
          <w:rFonts w:ascii="Noto Sans" w:hAnsi="Noto Sans" w:eastAsia="Noto Sans TC" w:cs="Noto Sans"/>
          <w:b w:val="0"/>
        </w:rPr>
        <w:t>Una revisión de reembolso menor puede, cuando sea necesario, involucrar hechos de compra, tutela y prueba limitada de identidad. Las conclusiones del reembolso, los enlaces de pedido, las revisiones necesarias y el estado correspondiente de restricción permanente del servicio de juego pueden retenerse para soporte, disputas, auditorías y estado de cuenta, no para publicidad. Los reembolsos menores no abren el juego a menores. Las reglas completas de reembolso y restricción de juego están en los Términos de Venta y Reembolso; una solicitud de privacidad no reemplaza la revisión de reembolso.</w:t>
      </w:r>
    </w:p>
    <w:p>
      <w:pPr>
        <w:pStyle w:val="Heading1"/>
        <w:keepLines w:val="0"/>
      </w:pPr>
      <w:r>
        <w:rPr>
          <w:rFonts w:ascii="Noto Sans" w:hAnsi="Noto Sans" w:eastAsia="Noto Sans TC" w:cs="Noto Sans"/>
          <w:b w:val="0"/>
        </w:rPr>
        <w:t>14. Apoyo a apelaciones y materiales</w:t>
      </w:r>
    </w:p>
    <w:p>
      <w:pPr>
        <w:keepLines w:val="0"/>
      </w:pPr>
      <w:r>
        <w:rPr>
          <w:rFonts w:ascii="Noto Sans" w:hAnsi="Noto Sans" w:eastAsia="Noto Sans TC" w:cs="Noto Sans"/>
          <w:b w:val="0"/>
        </w:rPr>
        <w:t>Para consultas, errores, preocupaciones sobre activos, apelaciones de recuperación, quejas e informes de seguridad, recibimos mensajes, información necesaria de cuenta/pedido, capturas de pantalla o archivos adjuntos limitados a través de un canal apropiado que usted elija para enviarlos. El uso se limita a la solicitud, disputas relacionadas, seguridad y deberes legales necesarios, con acceso restringido a personal autorizado y proveedores. Los datos se eliminan o anonimizan cuando esos fines terminan y no queda base legal. No envíe archivos privados no relacionados, buzones completos, detalles completos de tarjetas o contraseñas.</w:t>
      </w:r>
    </w:p>
    <w:p>
      <w:pPr>
        <w:keepLines w:val="0"/>
      </w:pPr>
      <w:r>
        <w:rPr>
          <w:rFonts w:ascii="Noto Sans" w:hAnsi="Noto Sans" w:eastAsia="Noto Sans TC" w:cs="Noto Sans"/>
          <w:b w:val="0"/>
        </w:rPr>
        <w:t>El correo electrónico oficial y las plataformas sociales manejan mensajes, direcciones de correo electrónico, archivos adjuntos y datos técnicos necesarios según sus políticas. Spacemail sirve para comunicaciones oficiales; no es un repositorio para buzones de terceros de usuarios de Mail. No enviamos correo electrónico promocional, SMS ni mensajes privados de marketing. La verificación de cuenta, seguridad, pedidos, casos de soporte y asuntos importantes del servicio pueden requerir notificaciones.</w:t>
      </w:r>
    </w:p>
    <w:p>
      <w:pPr>
        <w:pStyle w:val="Heading1"/>
        <w:keepLines w:val="0"/>
      </w:pPr>
      <w:r>
        <w:rPr>
          <w:rFonts w:ascii="Noto Sans" w:hAnsi="Noto Sans" w:eastAsia="Noto Sans TC" w:cs="Noto Sans"/>
          <w:b w:val="0"/>
        </w:rPr>
        <w:t>15. Sitio web de cookies y estadísticas agregadas anónimas</w:t>
      </w:r>
    </w:p>
    <w:p>
      <w:pPr>
        <w:keepLines w:val="0"/>
      </w:pPr>
      <w:r>
        <w:rPr>
          <w:rFonts w:ascii="Noto Sans" w:hAnsi="Noto Sans" w:eastAsia="Noto Sans TC" w:cs="Noto Sans"/>
          <w:b w:val="0"/>
        </w:rPr>
        <w:t>El sitio web y la cuenta utilizan cookies necesarias y almacenamiento local para iniciar sesión, idioma, seguridad de solicitudes, prevención de abusos y funciones solicitadas, como se describe en la Política de Cookies y Tecnologías Similares. Las cookies y el almacenamiento web de terceros pertenecen a ese sitio y difieren de las cookies de primera parte de dawnbloom.net. Los permisos del sitio web y de la aplicación no se sustituyen entre sí.</w:t>
      </w:r>
    </w:p>
    <w:p>
      <w:pPr>
        <w:keepLines w:val="0"/>
      </w:pPr>
      <w:r>
        <w:rPr>
          <w:rFonts w:ascii="Noto Sans" w:hAnsi="Noto Sans" w:eastAsia="Noto Sans TC" w:cs="Noto Sans"/>
          <w:b w:val="0"/>
        </w:rPr>
        <w:t>Las estadísticas del sitio web cuentan rutas de página, solicitudes de archivos oficiales, visitas salientes de espejo/tienda y entradas de minijuegos. La IP y el agente de usuario del navegador son entradas transitorias para hashes de deduplicación rotativos diarios. La base de datos de estadísticas no almacena IP cruda, agente de usuario crudo, ID de visitante permanente ni rastro personal reproducible y no vincula cuentas. Los hashes diarios temporales se mantienen como máximo hasta el día siguiente, luego se eliminan; los conteos agregados por fecha, página, producto o minijuego pueden permanecer. Una solicitud de archivo o clic saliente no es una descarga completada. Los servicios de seguridad de red pueden registrar por separado IP y datos de solicitud para seguridad.</w:t>
      </w:r>
    </w:p>
    <w:p>
      <w:pPr>
        <w:keepLines w:val="0"/>
      </w:pPr>
      <w:r>
        <w:rPr>
          <w:rFonts w:ascii="Noto Sans" w:hAnsi="Noto Sans" w:eastAsia="Noto Sans TC" w:cs="Noto Sans"/>
          <w:b w:val="0"/>
        </w:rPr>
        <w:t>No vendemos información personal, no la compartimos para publicidad conductual transversal, no creamos perfiles publicitarios entre productos ni utilizamos cookies de segmentación o seguimiento publicitario comercial de terceros. La agregación y el procesamiento de seguridad necesario no equivalen a leer contenido privado o perfiles de marketing. Los conteos locales de aplicaciones y los diseños de carga desactivados no se describen como analíticas en línea en tiempo real. Los cambios materiales en el procesamiento se divulgarán antes de su implementación con las opciones requeridas por la ley.</w:t>
      </w:r>
    </w:p>
    <w:p>
      <w:pPr>
        <w:pStyle w:val="Heading1"/>
        <w:keepLines w:val="0"/>
      </w:pPr>
      <w:r>
        <w:rPr>
          <w:rFonts w:ascii="Noto Sans" w:hAnsi="Noto Sans" w:eastAsia="Noto Sans TC" w:cs="Noto Sans"/>
          <w:b w:val="0"/>
        </w:rPr>
        <w:t>16. Servicios de terceros</w:t>
      </w:r>
    </w:p>
    <w:p>
      <w:pPr>
        <w:keepLines w:val="0"/>
      </w:pPr>
      <w:r>
        <w:rPr>
          <w:rFonts w:ascii="Noto Sans" w:hAnsi="Noto Sans" w:eastAsia="Noto Sans TC" w:cs="Noto Sans"/>
          <w:b w:val="0"/>
        </w:rPr>
        <w:t>Las terceras partes reciben información necesaria para la situación actual, no todos los datos del producto. Cloudflare proporciona seguridad y entrega de contenido y puede manejar direcciones IP, metadatos de solicitud y registros de seguridad. Apple, Google, Microsoft, Steam y otras plataformas manejan sus tiendas, funciones del sistema operativo, inicio de sesión o pagos bajo sus reglas cuando se utilizan. Gmail, Microsoft, QQ, NetEase, iCloud o su proveedor de correo elegido maneja el correo directo y la autenticación. Los proveedores de búsqueda, fuentes de noticias, FTP y otras fuentes de archivos manejan las conexiones que usted inicia. Una categoría enumerada no significa que cada plataforma integre todas las funciones.</w:t>
      </w:r>
    </w:p>
    <w:p>
      <w:pPr>
        <w:keepLines w:val="0"/>
      </w:pPr>
      <w:r>
        <w:rPr>
          <w:rFonts w:ascii="Noto Sans" w:hAnsi="Noto Sans" w:eastAsia="Noto Sans TC" w:cs="Noto Sans"/>
          <w:b w:val="0"/>
        </w:rPr>
        <w:t>Las comunicaciones de soporte, plataformas sociales o espejos de Baidu Netdisk/Google Drive que abre, y los SDK funcionales necesarios tienen sus propias reglas. La Sección 7 explica la traducción en el dispositivo de ML Kit y los metadatos técnicos. Consulte las políticas de los proveedores para el procesamiento independiente, retención y derechos. Un procesador que actúa bajo nuestras instrucciones difiere de un servicio operado independientemente.</w:t>
      </w:r>
    </w:p>
    <w:p>
      <w:pPr>
        <w:pStyle w:val="Heading1"/>
        <w:keepLines w:val="0"/>
      </w:pPr>
      <w:r>
        <w:rPr>
          <w:rFonts w:ascii="Noto Sans" w:hAnsi="Noto Sans" w:eastAsia="Noto Sans TC" w:cs="Noto Sans"/>
          <w:b w:val="0"/>
        </w:rPr>
        <w:t>17. Proveedores de procesamiento compartido y divulgación</w:t>
      </w:r>
    </w:p>
    <w:p>
      <w:pPr>
        <w:keepLines w:val="0"/>
      </w:pPr>
      <w:r>
        <w:rPr>
          <w:rFonts w:ascii="Noto Sans" w:hAnsi="Noto Sans" w:eastAsia="Noto Sans TC" w:cs="Noto Sans"/>
          <w:b w:val="0"/>
        </w:rPr>
        <w:t>No divulgamos información personal a partes no relacionadas excepto para funciones que usted elija, procesadores necesarios, investigaciones de seguridad directamente relacionadas, ley aplicable o solicitudes de autoridad competente, protección de derechos legítimos significativos, o cambios organizacionales legales con salvaguardas. La información pública de personaje, publicación, chat o transacción se muestra a otros jugadores dentro de esa función. Restringimos los propósitos, alcance, confidencialidad y deberes de seguridad de los procesadores y los supervisamos según la ley aplicable, completando primero el consentimiento o procedimientos separados requeridos.</w:t>
      </w:r>
    </w:p>
    <w:p>
      <w:pPr>
        <w:pStyle w:val="Heading1"/>
        <w:keepLines w:val="0"/>
      </w:pPr>
      <w:r>
        <w:rPr>
          <w:rFonts w:ascii="Noto Sans" w:hAnsi="Noto Sans" w:eastAsia="Noto Sans TC" w:cs="Noto Sans"/>
          <w:b w:val="0"/>
        </w:rPr>
        <w:t>18. Ubicaciones de datos y procesamiento internacional</w:t>
      </w:r>
    </w:p>
    <w:p>
      <w:pPr>
        <w:keepLines w:val="0"/>
      </w:pPr>
      <w:r>
        <w:rPr>
          <w:rFonts w:ascii="Noto Sans" w:hAnsi="Noto Sans" w:eastAsia="Noto Sans TC" w:cs="Noto Sans"/>
          <w:b w:val="0"/>
        </w:rPr>
        <w:t>Los datos centrales de la cuenta, el Light Sync opcional y los servicios necesarios de contenido y soporte se procesan principalmente por infraestructura en Tokio, Japón. La seguridad y entrega de Cloudflare pueden procesar solicitudes en regiones donde proporciona servicio. La navegación local, las cachés de correo, las descargas y la extracción permanecen principalmente en su dispositivo; las comunicaciones de correo son con su proveedor, los artículos originales con su fuente y las credenciales de pago con la plataforma de pago. Estos servicios de red pueden procesar información en sus ubicaciones; esto no significa que todo el contenido local se cargue internacionalmente.</w:t>
      </w:r>
    </w:p>
    <w:p>
      <w:pPr>
        <w:keepLines w:val="0"/>
      </w:pPr>
      <w:r>
        <w:rPr>
          <w:rFonts w:ascii="Noto Sans" w:hAnsi="Noto Sans" w:eastAsia="Noto Sans TC" w:cs="Noto Sans"/>
          <w:b w:val="0"/>
        </w:rPr>
        <w:t>Entrar al juego puede enviar datos necesarios de personaje, activos y operativos a la infraestructura del juego en China continental. El juego recibe credenciales de acceso de corta duración y datos mínimos de identidad/idioma operativo, no correo electrónico completo, nombre real, fecha de nacimiento o historial completo de seguridad de la cuenta. Cuando se ofrece el registro en China continental, los nombres/fechas de nacimiento permanecen cifrados en China; el nombre de la cuenta, correo electrónico, autenticación y estado de seguridad necesario pueden transferirse a Tokio para servicios unificados. Antes de las transferencias requeridas, divulgamos destino, propósito, categorías y derechos y obtenemos consentimiento separado según corresponda. Los usuarios extranjeros que entren al juego pueden enviar datos de juego necesarios a China. Las evaluaciones aplicables, contratos, consentimientos u otros mecanismos siguen la situación actual; esta Política no afirma la satisfacción automática de cada requisito de transferencia.</w:t>
      </w:r>
    </w:p>
    <w:p>
      <w:pPr>
        <w:pStyle w:val="Heading1"/>
        <w:keepLines w:val="0"/>
      </w:pPr>
      <w:r>
        <w:rPr>
          <w:rFonts w:ascii="Noto Sans" w:hAnsi="Noto Sans" w:eastAsia="Noto Sans TC" w:cs="Noto Sans"/>
          <w:b w:val="0"/>
        </w:rPr>
        <w:t>19. Seguridad y respuesta ante incidentes</w:t>
      </w:r>
    </w:p>
    <w:p>
      <w:pPr>
        <w:keepLines w:val="0"/>
      </w:pPr>
      <w:r>
        <w:rPr>
          <w:rFonts w:ascii="Noto Sans" w:hAnsi="Noto Sans" w:eastAsia="Noto Sans TC" w:cs="Noto Sans"/>
          <w:b w:val="0"/>
        </w:rPr>
        <w:t>Utilizamos medidas técnicas y organizativas razonables proporcionales al riesgo, incluyendo transporte cifrado, hashes de contraseñas, cifrado local apropiado y almacenamiento seguro, privilegio mínimo, controles de acceso, registros necesarios, copias de seguridad restringidas, autenticación multifactor y auditorías. Para robo, fraude, duplicación de artículos, activos anómalos, ataques, reembolsos abusivos o disputas de cuenta, podemos examinar evidencia directamente relacionada de inicio de sesión, transacción, activo, chat retenido y soporte con propósitos y accesos restringidos.</w:t>
      </w:r>
    </w:p>
    <w:p>
      <w:pPr>
        <w:keepLines w:val="0"/>
      </w:pPr>
      <w:r>
        <w:rPr>
          <w:rFonts w:ascii="Noto Sans" w:hAnsi="Noto Sans" w:eastAsia="Noto Sans TC" w:cs="Noto Sans"/>
          <w:b w:val="0"/>
        </w:rPr>
        <w:t>Ningún sistema garantiza seguridad absoluta. Para revelación, alteración, pérdida o incidentes de seguridad reales o sospechados, investigamos, limitamos el impacto, remediamos y notificamos a usuarios afectados o autoridades y cooperamos según lo requiere la ley. Los registros de seguridad no se reutilizan para marketing; la evidencia retenida necesaria sigue la Sección 20.</w:t>
      </w:r>
    </w:p>
    <w:p>
      <w:pPr>
        <w:pStyle w:val="Heading1"/>
        <w:keepLines w:val="0"/>
      </w:pPr>
      <w:r>
        <w:rPr>
          <w:rFonts w:ascii="Noto Sans" w:hAnsi="Noto Sans" w:eastAsia="Noto Sans TC" w:cs="Noto Sans"/>
          <w:b w:val="0"/>
        </w:rPr>
        <w:t>20. Retención por categoría</w:t>
      </w:r>
    </w:p>
    <w:p>
      <w:pPr>
        <w:pStyle w:val="ListBullet"/>
        <w:keepLines w:val="0"/>
      </w:pPr>
      <w:r>
        <w:rPr>
          <w:rFonts w:ascii="Noto Sans" w:hAnsi="Noto Sans" w:eastAsia="Noto Sans TC" w:cs="Noto Sans"/>
          <w:b w:val="0"/>
        </w:rPr>
        <w:t>Sincronización de cuenta y nube: durante la existencia de la cuenta y las necesidades de la función elegida; eliminar o anonimizar tras solicitudes aplicables de eliminación en la nube o cierre final, sujeto a excepciones legales, disputas y seguridad. Desactivar la sincronización o cerrar sesión no borra la configuración existente en la nube. Los metadatos de tareas de descarga compartidas expiran 72 horas después de su última actualización; esto no elimina los archivos en sus dispositivos.</w:t>
      </w:r>
    </w:p>
    <w:p>
      <w:pPr>
        <w:pStyle w:val="ListBullet"/>
        <w:keepLines w:val="0"/>
      </w:pPr>
      <w:r>
        <w:rPr>
          <w:rFonts w:ascii="Noto Sans" w:hAnsi="Noto Sans" w:eastAsia="Noto Sans TC" w:cs="Noto Sans"/>
          <w:b w:val="0"/>
        </w:rPr>
        <w:t>Libros contables de juegos, sociales y activos: para necesidades de cuenta/función; el chat normal tiene una retención predeterminada de 7 días. Las transacciones, informes o evidencias necesarias pueden conservarse para investigaciones, disputas y obligaciones legales. El contenido público también sigue las reglas de eliminación comunitaria, moderación y registros compartidos.</w:t>
      </w:r>
    </w:p>
    <w:p>
      <w:pPr>
        <w:pStyle w:val="ListBullet"/>
        <w:keepLines w:val="0"/>
      </w:pPr>
      <w:r>
        <w:rPr>
          <w:rFonts w:ascii="Noto Sans" w:hAnsi="Noto Sans" w:eastAsia="Noto Sans TC" w:cs="Noto Sans"/>
          <w:b w:val="0"/>
        </w:rPr>
        <w:t>Datos locales del Navegador, Correo, Descarga y Archivo: controlados por sus acciones, configuraciones del producto y reglas del SO hasta que se borren o eliminen. Las sesiones privadas siguen los límites de sesión y capacidades técnicas. Las credenciales de correo permanecen localmente hasta la eliminación de la conexión o revocación de autorización; los datos del proveedor siguen la retención del proveedor. Desinstalar puede no eliminar todos los archivos bajo las reglas del SO, y las descargas o archivos de usuario pueden permanecer.</w:t>
      </w:r>
    </w:p>
    <w:p>
      <w:pPr>
        <w:pStyle w:val="ListBullet"/>
        <w:keepLines w:val="0"/>
      </w:pPr>
      <w:r>
        <w:rPr>
          <w:rFonts w:ascii="Noto Sans" w:hAnsi="Noto Sans" w:eastAsia="Noto Sans TC" w:cs="Noto Sans"/>
          <w:b w:val="0"/>
        </w:rPr>
        <w:t>Pedidos, reembolsos y finanzas: retener para cumplimiento, conciliación, impuestos, finanzas, protección al consumidor y disputas. Solicitudes de soporte y adjuntos: retener solo para manejo, soporte, quejas, seguridad y ley; eliminar o anonimizar cuando ya no sean necesarios. La edad por sí sola no establece que un caso esté cerrado.</w:t>
      </w:r>
    </w:p>
    <w:p>
      <w:pPr>
        <w:pStyle w:val="ListBullet"/>
        <w:keepLines w:val="0"/>
      </w:pPr>
      <w:r>
        <w:rPr>
          <w:rFonts w:ascii="Noto Sans" w:hAnsi="Noto Sans" w:eastAsia="Noto Sans TC" w:cs="Noto Sans"/>
          <w:b w:val="0"/>
        </w:rPr>
        <w:t>Registros de seguridad y fallos: el período razonable más corto para protección de servicios, investigaciones y ley; donde se apliquen deberes de registro de red chinos, al menos seis meses según lo requerido. Las pruebas necesarias pueden extenderse a un alcance limitado y eliminarse/anonimizarse cuando finalice su propósito. Los hashes diarios del sitio web duran como máximo hasta el día siguiente; los agregados pueden permanecer a largo plazo. Los conteos de aplicaciones locales siguen las reglas de borrado del dispositivo.</w:t>
      </w:r>
    </w:p>
    <w:p>
      <w:pPr>
        <w:keepLines w:val="0"/>
      </w:pPr>
      <w:r>
        <w:rPr>
          <w:rFonts w:ascii="Noto Sans" w:hAnsi="Noto Sans" w:eastAsia="Noto Sans TC" w:cs="Noto Sans"/>
          <w:b w:val="0"/>
        </w:rPr>
        <w:t>No retenemos información personal indefinidamente simplemente porque pueda ser útil más adelante. Donde no se pueda dar un período fijo, el propósito, la ley y las disputas lo determinan. Los registros que aún no se pueden eliminar legalmente están restringidos a almacenamiento, cumplimiento y protección necesaria, no para uso diario del producto o marketing. La eliminación de copias de seguridad sigue procedimientos seguros de rotación y protección de recuperación; las copias de seguridad no justifican el uso continuado de datos eliminados.</w:t>
      </w:r>
    </w:p>
    <w:p>
      <w:pPr>
        <w:pStyle w:val="Heading1"/>
        <w:keepLines w:val="0"/>
      </w:pPr>
      <w:r>
        <w:rPr>
          <w:rFonts w:ascii="Noto Sans" w:hAnsi="Noto Sans" w:eastAsia="Noto Sans TC" w:cs="Noto Sans"/>
          <w:b w:val="0"/>
        </w:rPr>
        <w:t>21. Período de enfriamiento y eliminación del cierre de cuenta</w:t>
      </w:r>
    </w:p>
    <w:p>
      <w:pPr>
        <w:keepLines w:val="0"/>
      </w:pPr>
      <w:r>
        <w:rPr>
          <w:rFonts w:ascii="Noto Sans" w:hAnsi="Noto Sans" w:eastAsia="Noto Sans TC" w:cs="Noto Sans"/>
          <w:b w:val="0"/>
        </w:rPr>
        <w:t>La solicitud de cierre de cuenta tiene un período de reflexión de 15 días. Se suspende el acceso al sitio web/juego, el nombre de usuario y el correo electrónico se reservan, y los personajes/activos permanecen intactos pero no pueden transferirse, regalarse ni intercambiarse. El inicio de sesión ordinario no cancela la solicitud; se requiere una cancelación explícita con verificación de credenciales para restaurar el acceso. El cierre no evade sanciones, saldos negativos o disputas pendientes.</w:t>
      </w:r>
    </w:p>
    <w:p>
      <w:pPr>
        <w:keepLines w:val="0"/>
      </w:pPr>
      <w:r>
        <w:rPr>
          <w:rFonts w:ascii="Noto Sans" w:hAnsi="Noto Sans" w:eastAsia="Noto Sans TC" w:cs="Noto Sans"/>
          <w:b w:val="0"/>
        </w:rPr>
        <w:t>Transcurrido el plazo, sin cancelación y tras los pasos de eliminación necesarios, las credenciales, sesiones y tokens dejan de funcionar y los personajes/activos del juego quedan permanentemente indisponibles, sin posibilidad de transferencia o restauración mediante nuevo registro. El nombre de usuario/correo electrónico puede reutilizarse tras el cierre definitivo, pero la nueva cuenta tiene una identidad nueva sin relación con activos antiguos, identidad de foro o historial. Las cuentas ordinarias y los datos en la nube asociados se eliminan o anonimizan de forma irreversible. Los registros compartidos de foros, familias, comercio y clasificaciones pueden permanecer después de eliminar los vínculos de identidad, sin borrar la información de otras personas. Si una capa de residente en China mantiene el registro de identidad asociado, su eliminación/anonimización debe confirmarse.</w:t>
      </w:r>
    </w:p>
    <w:p>
      <w:pPr>
        <w:keepLines w:val="0"/>
      </w:pPr>
      <w:r>
        <w:rPr>
          <w:rFonts w:ascii="Noto Sans" w:hAnsi="Noto Sans" w:eastAsia="Noto Sans TC" w:cs="Noto Sans"/>
          <w:b w:val="0"/>
        </w:rPr>
        <w:t>Los registros mínimos necesarios para pagos, reembolsos, prevención de fraude, leyes, incidentes y disputas pendientes pueden retenerse legalmente. El cierre no borra automáticamente archivos locales, cachés de correo, contenido del navegador o cuentas de correo de terceros; gestione esto en el dispositivo o con el proveedor. Las solicitudes de sincronización en la nube o eliminación de cuenta utilizan las funciones reales de la cuenta o la Sección 22. No prometemos funciones de exportación con un solo clic o eliminación total de datos que no estén disponibles.</w:t>
      </w:r>
    </w:p>
    <w:p>
      <w:pPr>
        <w:pStyle w:val="Heading1"/>
        <w:keepLines w:val="0"/>
      </w:pPr>
      <w:r>
        <w:rPr>
          <w:rFonts w:ascii="Noto Sans" w:hAnsi="Noto Sans" w:eastAsia="Noto Sans TC" w:cs="Noto Sans"/>
          <w:b w:val="0"/>
        </w:rPr>
        <w:t>22. Sus derechos y proceso de solicitud</w:t>
      </w:r>
    </w:p>
    <w:p>
      <w:pPr>
        <w:keepLines w:val="0"/>
      </w:pPr>
      <w:r>
        <w:rPr>
          <w:rFonts w:ascii="Noto Sans" w:hAnsi="Noto Sans" w:eastAsia="Noto Sans TC" w:cs="Noto Sans"/>
          <w:b w:val="0"/>
        </w:rPr>
        <w:t>Según la ley aplicable, puede solicitar información sobre el procesamiento, acceder/copiar/corregir/completar datos, solicitar eliminación, restricción u oposición, retirar el consentimiento retirable, desactivar Light Sync, solicitar el cierre y, cuando se cumplan las condiciones legales, solicitar portabilidad o transferencia, presentar una queja o buscar explicaciones. La retirada no afecta el procesamiento previo lícito; retirar el procesamiento indispensable puede impedir el servicio correspondiente.</w:t>
      </w:r>
    </w:p>
    <w:p>
      <w:pPr>
        <w:keepLines w:val="0"/>
      </w:pPr>
      <w:r>
        <w:rPr>
          <w:rFonts w:ascii="Noto Sans" w:hAnsi="Noto Sans" w:eastAsia="Noto Sans TC" w:cs="Noto Sans"/>
          <w:b w:val="0"/>
        </w:rPr>
        <w:t xml:space="preserve">Inicie a través de los enlaces de privacidad, gestión de cuentas o contacto del Soporte, o escriba a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Identifique el producto, tipo de solicitud, cuenta asociada y hechos necesarios sin contraseñas ni pruebas no relacionadas. Podemos verificar razonablemente la identidad para solicitudes de alto riesgo y responder dentro de los períodos aplicables. Si la ley permite restringir o rechazar solicitudes repetitivas, fraudulentas, excesivas o que dañan derechos, explicaremos por qué. Los datos exclusivos del dispositivo que no poseemos deben gestionarse localmente; los datos de terceros requieren solicitudes a esa parte. No existe una exportación universal con un solo clic para todos los datos.</w:t>
      </w:r>
    </w:p>
    <w:p>
      <w:pPr>
        <w:pStyle w:val="Heading1"/>
        <w:keepLines w:val="0"/>
      </w:pPr>
      <w:r>
        <w:rPr>
          <w:rFonts w:ascii="Noto Sans" w:hAnsi="Noto Sans" w:eastAsia="Noto Sans TC" w:cs="Noto Sans"/>
          <w:b w:val="0"/>
        </w:rPr>
        <w:t>23. Menores</w:t>
      </w:r>
    </w:p>
    <w:p>
      <w:pPr>
        <w:keepLines w:val="0"/>
      </w:pPr>
      <w:r>
        <w:rPr>
          <w:rFonts w:ascii="Noto Sans" w:hAnsi="Noto Sans" w:eastAsia="Noto Sans TC" w:cs="Noto Sans"/>
          <w:b w:val="0"/>
        </w:rPr>
        <w:t>Las cuentas de juego, la jugabilidad, la participación en Plaza de Aventureros y los servicios relacionados de la tienda de juegos requieren actualmente 18+. La visualización de páginas públicas no comparte este umbral. Las aplicaciones centrales de propósito general como DAWNBLOOM Browser no adquieren un requisito universal de 18+ o fecha de nacimiento por esta Política; las leyes locales, tiendas y reglas de edad del servicio de destino aún se aplican. Los reembolsos para menores abordan gastos reales o disputados sin relajar la elegibilidad del juego. La prueba de menor/tutor se limita a revisión, soporte y ley con protecciones apropiadas, no perfiles publicitarios infantiles. El consentimiento necesario del tutor o procedimientos especiales preceden al procesamiento relevante.</w:t>
      </w:r>
    </w:p>
    <w:p>
      <w:pPr>
        <w:pStyle w:val="Heading1"/>
        <w:keepLines w:val="0"/>
      </w:pPr>
      <w:r>
        <w:rPr>
          <w:rFonts w:ascii="Noto Sans" w:hAnsi="Noto Sans" w:eastAsia="Noto Sans TC" w:cs="Noto Sans"/>
          <w:b w:val="0"/>
        </w:rPr>
        <w:t>24. China continental</w:t>
      </w:r>
    </w:p>
    <w:p>
      <w:pPr>
        <w:keepLines w:val="0"/>
      </w:pPr>
      <w:r>
        <w:rPr>
          <w:rFonts w:ascii="Noto Sans" w:hAnsi="Noto Sans" w:eastAsia="Noto Sans TC" w:cs="Noto Sans"/>
          <w:b w:val="0"/>
        </w:rPr>
        <w:t>Cuando aplica la ley china, seguimos el procesamiento lícito, justo, necesario y de buena fe, y divulgamos controlador, propósito, método, categorías, retención y canales de derechos. La disponibilidad de registro en China continental sigue el servicio de cuenta actual. Cuando se ofrece elegibilidad por edad, las Secciones 4 y 18 rigen el procesamiento de nombre/fecha de nacimiento nacional sin enviar los campos originales a Tokio. El aviso de transferencia requerido, consentimiento separado y salvaguardias preceden a las transferencias. El idioma de la interfaz no determina la región legal.</w:t>
      </w:r>
    </w:p>
    <w:p>
      <w:pPr>
        <w:keepLines w:val="0"/>
      </w:pPr>
      <w:r>
        <w:rPr>
          <w:rFonts w:ascii="Noto Sans" w:hAnsi="Noto Sans" w:eastAsia="Noto Sans TC" w:cs="Noto Sans"/>
          <w:b w:val="0"/>
        </w:rPr>
        <w:t xml:space="preserve">Puede ejercer los derechos aplicables a saber, decidir, limitar o negar el procesamiento, acceder, copiar, corregir, complementar, eliminar, transferir donde se cumplan las condiciones y cerrar una cuenta a través de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o Soporte. Explicamos los efectos de retirar el procesamiento indispensable. El cumplimiento de la transferencia sigue la escala real y las condiciones legales; los conteos internos no reemplazan los procedimientos legales.</w:t>
      </w:r>
    </w:p>
    <w:p>
      <w:pPr>
        <w:pStyle w:val="Heading1"/>
        <w:keepLines w:val="0"/>
      </w:pPr>
      <w:r>
        <w:rPr>
          <w:rFonts w:ascii="Noto Sans" w:hAnsi="Noto Sans" w:eastAsia="Noto Sans TC" w:cs="Noto Sans"/>
          <w:b w:val="0"/>
        </w:rPr>
        <w:t>25. Estados Unidos</w:t>
      </w:r>
    </w:p>
    <w:p>
      <w:pPr>
        <w:keepLines w:val="0"/>
      </w:pPr>
      <w:r>
        <w:rPr>
          <w:rFonts w:ascii="Noto Sans" w:hAnsi="Noto Sans" w:eastAsia="Noto Sans TC" w:cs="Noto Sans"/>
          <w:b w:val="0"/>
        </w:rPr>
        <w:t>Cuando aplican las leyes de privacidad estatales o federales, proporcionamos derechos sujetos a sus condiciones, incluido el acceso/conocimiento, la corrección, la eliminación, la portabilidad, la opción de no vender o compartir y los recursos, sin discriminación ilegal. Los derechos aplicables de la CCPA/CPRA de California también pueden incluir limitar ciertos usos de información sensible. No vendemos información personal ni la compartimos para publicidad conductual entre contextos; la venta/compartición sigue las definiciones legales aplicables, no una suposición de que los procesadores necesarios son ventas publicitarias. No afirmamos que todas las leyes estatales se apliquen incondicionalmente ni que la ley de privacidad infantil sea categóricamente inaplicable. Utilice la Sección 22; pueden estar disponibles agentes autorizados o quejas regulatorias según la ley aplicable.</w:t>
      </w:r>
    </w:p>
    <w:p>
      <w:pPr>
        <w:pStyle w:val="Heading1"/>
        <w:keepLines w:val="0"/>
      </w:pPr>
      <w:r>
        <w:rPr>
          <w:rFonts w:ascii="Noto Sans" w:hAnsi="Noto Sans" w:eastAsia="Noto Sans TC" w:cs="Noto Sans"/>
          <w:b w:val="0"/>
        </w:rPr>
        <w:t>26. Japón</w:t>
      </w:r>
    </w:p>
    <w:p>
      <w:pPr>
        <w:keepLines w:val="0"/>
      </w:pPr>
      <w:r>
        <w:rPr>
          <w:rFonts w:ascii="Noto Sans" w:hAnsi="Noto Sans" w:eastAsia="Noto Sans TC" w:cs="Noto Sans"/>
          <w:b w:val="0"/>
        </w:rPr>
        <w:t>Para usuarios en Japón, especificamos propósitos y generalmente usamos información personal dentro de ellos, con controles de seguridad necesarios y supervisión del procesador. Cuando aplica la APPI de Japón, manejamos solicitudes de divulgación, corrección, suspensión de uso, borrado y suspensión de la provisión a terceros de datos personales retenidos bajo sus condiciones. Los datos centrales de cuentas japonesas están principalmente en Tokio; entrar al juego puede implicar procesamiento de juego necesario en China, sin transferir todo el contenido privado local.</w:t>
      </w:r>
    </w:p>
    <w:p>
      <w:pPr>
        <w:keepLines w:val="0"/>
      </w:pPr>
      <w:r>
        <w:rPr>
          <w:rFonts w:ascii="Noto Sans" w:hAnsi="Noto Sans" w:eastAsia="Noto Sans TC" w:cs="Noto Sans"/>
          <w:b w:val="0"/>
        </w:rPr>
        <w:t>Para la provisión a terceros o procesamiento extranjero sujeto a reglas japonesas, describimos categorías reales de destinatarios, propósitos, datos y derechos y proporcionamos información requerida, obtenemos confirmaciones necesarias o aplicamos otras salvaguardas legales. Los requisitos legales dependen de la situación; un solo botón de consentimiento no satisface cada requisito. La selección de rango de edad de cuenta de juego japonesa maneja elegibilidad adulta necesaria sin cumpleaños inventados.</w:t>
      </w:r>
    </w:p>
    <w:p>
      <w:pPr>
        <w:pStyle w:val="Heading1"/>
        <w:keepLines w:val="0"/>
      </w:pPr>
      <w:r>
        <w:rPr>
          <w:rFonts w:ascii="Noto Sans" w:hAnsi="Noto Sans" w:eastAsia="Noto Sans TC" w:cs="Noto Sans"/>
          <w:b w:val="0"/>
        </w:rPr>
        <w:t>27. Actualizaciones de políticas</w:t>
      </w:r>
    </w:p>
    <w:p>
      <w:pPr>
        <w:keepLines w:val="0"/>
      </w:pPr>
      <w:r>
        <w:rPr>
          <w:rFonts w:ascii="Noto Sans" w:hAnsi="Noto Sans" w:eastAsia="Noto Sans TC" w:cs="Noto Sans"/>
          <w:b w:val="0"/>
        </w:rPr>
        <w:t>Los cambios en funciones, proveedores, categorías de datos, leyes o seguridad pueden requerir una Política actualizada con versión, revisión y fechas efectivas. Los cambios materiales se anuncian a través del sitio, avisos de producto o medios razonables. El nuevo procesamiento sensible, el rastreo innecesario o los cambios materiales de transferencia reciben aviso adicional y consentimiento donde la ley lo requiere. Los tres idiomas se alinean en límites de datos y significado legal. El centro de privacidad del consumidor es una explicación legible, no un reemplazo para esta Política completa.</w:t>
      </w:r>
    </w:p>
    <w:p>
      <w:pPr>
        <w:pStyle w:val="Heading1"/>
        <w:keepLines w:val="0"/>
      </w:pPr>
      <w:r>
        <w:rPr>
          <w:rFonts w:ascii="Noto Sans" w:hAnsi="Noto Sans" w:eastAsia="Noto Sans TC" w:cs="Noto Sans"/>
          <w:b w:val="0"/>
        </w:rPr>
        <w:t>28. Contáctenos</w:t>
      </w:r>
    </w:p>
    <w:p>
      <w:pPr>
        <w:keepLines w:val="0"/>
      </w:pPr>
      <w:r>
        <w:rPr>
          <w:rFonts w:ascii="Noto Sans" w:hAnsi="Noto Sans" w:eastAsia="Noto Sans TC" w:cs="Noto Sans"/>
          <w:b w:val="0"/>
        </w:rPr>
        <w:t xml:space="preserve">Solicitudes legales y de privacidad: </w:t>
      </w:r>
      <w:hyperlink r:id="rId12">
        <w:r>
          <w:rPr>
            <w:rFonts w:ascii="Noto Sans" w:hAnsi="Noto Sans" w:eastAsia="Noto Sans TC"/>
            <w:b w:val="0"/>
          </w:rPr>
          <w:t xml:space="preserve">legal@dawnbloom.net</w:t>
        </w:r>
      </w:hyperlink>
      <w:r>
        <w:rPr>
          <w:rFonts w:ascii="Noto Sans" w:hAnsi="Noto Sans" w:eastAsia="Noto Sans TC" w:cs="Noto Sans"/>
          <w:b w:val="0"/>
        </w:rPr>
        <w:t xml:space="preserve">. Soporte de producto, cuenta y general: </w:t>
      </w:r>
      <w:hyperlink r:id="rId13">
        <w:r>
          <w:rPr>
            <w:rFonts w:ascii="Noto Sans" w:hAnsi="Noto Sans" w:eastAsia="Noto Sans TC"/>
            <w:b w:val="0"/>
          </w:rPr>
          <w:t xml:space="preserve">support@dawnbloom.net</w:t>
        </w:r>
      </w:hyperlink>
      <w:r>
        <w:rPr>
          <w:rFonts w:ascii="Noto Sans" w:hAnsi="Noto Sans" w:eastAsia="Noto Sans TC" w:cs="Noto Sans"/>
          <w:b w:val="0"/>
        </w:rPr>
        <w:t xml:space="preserve">. Facturación/reembolsos: Centro de facturación del sitio web o </w:t>
      </w:r>
      <w:hyperlink r:id="rId16">
        <w:r>
          <w:rPr>
            <w:rFonts w:ascii="Noto Sans" w:hAnsi="Noto Sans" w:eastAsia="Noto Sans TC"/>
            <w:b w:val="0"/>
          </w:rPr>
          <w:t xml:space="preserve">billing@dawnbloom.net</w:t>
        </w:r>
      </w:hyperlink>
      <w:r>
        <w:rPr>
          <w:rFonts w:ascii="Noto Sans" w:hAnsi="Noto Sans" w:eastAsia="Noto Sans TC" w:cs="Noto Sans"/>
          <w:b w:val="0"/>
        </w:rPr>
        <w:t xml:space="preserve">. Incidentes y vulnerabilidades: </w:t>
      </w:r>
      <w:hyperlink r:id="rId14">
        <w:r>
          <w:rPr>
            <w:rFonts w:ascii="Noto Sans" w:hAnsi="Noto Sans" w:eastAsia="Noto Sans TC"/>
            <w:b w:val="0"/>
          </w:rPr>
          <w:t xml:space="preserve">security@dawnbloom.net</w:t>
        </w:r>
      </w:hyperlink>
      <w:r>
        <w:rPr>
          <w:rFonts w:ascii="Noto Sans" w:hAnsi="Noto Sans" w:eastAsia="Noto Sans TC" w:cs="Noto Sans"/>
          <w:b w:val="0"/>
        </w:rPr>
        <w:t xml:space="preserve">. El soporte le permite elegir el tipo de problema; la configuración de la cuenta gestiona el acceso, dispositivos, autenticación multifactor y cierre. Respondemos según la solicitud y la ley aplicable. No es necesario publicar detalles personales para realizar una solicitud.</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V7</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legal@dawnbloom.net" TargetMode="External"/><Relationship Id="rId13" Type="http://schemas.openxmlformats.org/officeDocument/2006/relationships/hyperlink" Target="mailto:support@dawnbloom.net" TargetMode="External"/><Relationship Id="rId14" Type="http://schemas.openxmlformats.org/officeDocument/2006/relationships/hyperlink" Target="mailto:security@dawnbloom.net" TargetMode="External"/><Relationship Id="rId15" Type="http://schemas.openxmlformats.org/officeDocument/2006/relationships/hyperlink" Target="https://dawnbloom.net/kr/." TargetMode="External"/><Relationship Id="rId16" Type="http://schemas.openxmlformats.org/officeDocument/2006/relationships/hyperlink" Target="mailto:billing@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Política de Privacidad de DAWNBLOOM</dc:title>
  <dc:subject>DAWNBLOOM legal document V7</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