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Aviso de Canales Oficiales y Antiestafa de DAWNBLOOM</w:t>
      </w:r>
    </w:p>
    <w:p>
      <w:pPr>
        <w:keepLines w:val="0"/>
      </w:pPr>
      <w:r>
        <w:rPr>
          <w:rFonts w:ascii="Noto Sans" w:hAnsi="Noto Sans" w:eastAsia="Arial Unicode MS" w:cs="Noto Sans"/>
          <w:b w:val="0"/>
        </w:rPr>
        <w:t>Versión oficial</w:t>
      </w:r>
    </w:p>
    <w:p>
      <w:pPr>
        <w:keepLines w:val="0"/>
      </w:pPr>
      <w:r>
        <w:rPr>
          <w:rFonts w:ascii="Noto Sans" w:hAnsi="Noto Sans" w:eastAsia="Arial Unicode MS" w:cs="Noto Sans"/>
          <w:b w:val="0"/>
        </w:rPr>
        <w:t>CANALES OFICIALES Y AVISO ANTIFRAUDE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Verifique únicamente el sitio web oficial</w:t>
              <w:br/>
              <w:t>https://dawnbloom.net</w:t>
            </w:r>
          </w:p>
        </w:tc>
      </w:tr>
    </w:tbl>
    <w:p>
      <w:pPr>
        <w:spacing w:after="40"/>
      </w:pPr>
    </w:p>
    <w:p>
      <w:pPr>
        <w:keepLines w:val="0"/>
      </w:pPr>
      <w:r>
        <w:rPr>
          <w:rFonts w:ascii="Noto Sans" w:hAnsi="Noto Sans" w:eastAsia="Arial Unicode MS" w:cs="Noto Sans"/>
          <w:b w:val="0"/>
        </w:rPr>
        <w:t>V8 · 10 de octubre de 2026</w:t>
      </w:r>
    </w:p>
    <w:p>
      <w:pPr>
        <w:keepLines w:val="0"/>
      </w:pPr>
      <w:r>
        <w:rPr>
          <w:rFonts w:ascii="Noto Sans" w:hAnsi="Noto Sans" w:eastAsia="Arial Unicode MS" w:cs="Noto Sans"/>
          <w:b w:val="0"/>
        </w:rPr>
        <w:t>Fecha de entrada en vigor: 10 de octubre de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Cualquier sitio web, servicio de atención al cliente, cuenta de redes sociales o página de pago que afirme representar a DAWNBLOOM (DAWNBLOOM) y que no esté explícitamente listado en este aviso o en el sitio web oficial, no debe proporcionar información de cuenta, códigos de verificación ni realizar solicitudes de pago.</w:t>
            </w:r>
          </w:p>
        </w:tc>
      </w:tr>
    </w:tbl>
    <w:p>
      <w:pPr>
        <w:spacing w:after="40"/>
      </w:pPr>
    </w:p>
    <w:p>
      <w:pPr>
        <w:pStyle w:val="Heading1"/>
        <w:keepLines w:val="0"/>
      </w:pPr>
      <w:r>
        <w:rPr>
          <w:rFonts w:ascii="Noto Sans" w:hAnsi="Noto Sans" w:eastAsia="Arial Unicode MS" w:cs="Noto Sans"/>
          <w:b w:val="0"/>
        </w:rPr>
        <w:t>1. Propósito de este Aviso</w:t>
      </w:r>
    </w:p>
    <w:p>
      <w:pPr>
        <w:keepLines w:val="0"/>
      </w:pPr>
      <w:r>
        <w:rPr>
          <w:rFonts w:ascii="Noto Sans" w:hAnsi="Noto Sans" w:eastAsia="Arial Unicode MS" w:cs="Noto Sans"/>
          <w:b w:val="0"/>
        </w:rPr>
        <w:t>Este aviso tiene como objetivo ayudar a los jugadores a identificar el sitio web oficial, la dirección de correo electrónico oficial, los medios sociales oficiales y los canales de atención al cliente de "DAWNBLOOM" (DAWNBLOOM). Su objetivo es reducir los riesgos asociados con el servicio de atención al cliente falso, los servicios de recarga falsos, sitios web de phishing, enlaces de robo de cuentas, reclamos de reembolso falsos y suplantación de identidad por parte de personal no autorizado. Los canales oficiales pueden agregarse, reubicarse o renombrarse de acuerdo con los ajustes de la plataforma; cualquier cambio o actualización se finalizará y anunciará oficialmente a través de dawnbloom.net.</w:t>
      </w:r>
    </w:p>
    <w:p>
      <w:pPr>
        <w:keepLines w:val="0"/>
      </w:pPr>
      <w:r>
        <w:rPr>
          <w:rFonts w:ascii="Noto Sans" w:hAnsi="Noto Sans" w:eastAsia="Arial Unicode MS" w:cs="Noto Sans"/>
          <w:b w:val="0"/>
        </w:rPr>
        <w:t>Este aviso también ayuda a los usuarios a identificar páginas, instaladores, actualizaciones y soporte para el juego, Token, Browser, News, Mail, Download y Archive. No obtenga productos no lanzados de hosts de archivos desconocidos, grupos compartidos, chats privados o sitios de software pirateado.</w:t>
      </w:r>
    </w:p>
    <w:p>
      <w:pPr>
        <w:pStyle w:val="Heading1"/>
        <w:keepLines w:val="0"/>
      </w:pPr>
      <w:r>
        <w:rPr>
          <w:rFonts w:ascii="Noto Sans" w:hAnsi="Noto Sans" w:eastAsia="Arial Unicode MS" w:cs="Noto Sans"/>
          <w:b w:val="0"/>
        </w:rPr>
        <w:t>2. Canales Oficiales</w:t>
      </w:r>
    </w:p>
    <w:p>
      <w:pPr>
        <w:keepLines w:val="0"/>
      </w:pPr>
      <w:r>
        <w:rPr>
          <w:rFonts w:ascii="Noto Sans" w:hAnsi="Noto Sans" w:eastAsia="Arial Unicode MS" w:cs="Noto Sans"/>
          <w:b w:val="0"/>
        </w:rPr>
        <w:t>DAWNBLOOM Fairy y DAWNBLOOM AI forman parte del mismo sistema de servicios inteligentes de nuestra empresa. No envíe contraseñas, códigos completos de verificación de un solo uso, tokens de acceso ni credenciales de pago en la conversación. Las sugerencias de AI y las fichas de Intelligent UI no sustituyen la verificación oficial de identidad; las operaciones sobre cuentas, activos y datos personales siguen requiriendo un procedimiento oficial de servicio con verificación. No confíe en mensajes que, en nombre de AI, le pidan eludir la verificación, pagar a cuentas particulares o enviar información sensible en dominios similares.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Canal</w:t>
            </w:r>
          </w:p>
        </w:tc>
        <w:tc>
          <w:tcPr>
            <w:tcW w:type="dxa" w:w="3249"/>
            <w:vAlign w:val="center"/>
            <w:shd w:fill="DCE8F7"/>
          </w:tcPr>
          <w:p>
            <w:pPr>
              <w:keepNext/>
              <w:spacing w:after="40"/>
            </w:pPr>
            <w:r>
              <w:rPr>
                <w:rFonts w:ascii="Noto Sans" w:hAnsi="Noto Sans" w:eastAsia="Arial Unicode MS" w:cs="Noto Sans"/>
                <w:b/>
                <w:sz w:val="17"/>
              </w:rPr>
              <w:t>Información oficial</w:t>
            </w:r>
          </w:p>
        </w:tc>
        <w:tc>
          <w:tcPr>
            <w:tcW w:type="dxa" w:w="3249"/>
            <w:vAlign w:val="center"/>
            <w:shd w:fill="DCE8F7"/>
          </w:tcPr>
          <w:p>
            <w:pPr>
              <w:keepNext/>
              <w:spacing w:after="40"/>
            </w:pPr>
            <w:r>
              <w:rPr>
                <w:rFonts w:ascii="Noto Sans" w:hAnsi="Noto Sans" w:eastAsia="Arial Unicode MS" w:cs="Noto Sans"/>
                <w:b/>
                <w:sz w:val="17"/>
              </w:rPr>
              <w:t>Propósito</w:t>
            </w:r>
          </w:p>
        </w:tc>
      </w:tr>
      <w:tr>
        <w:trPr>
          <w:cantSplit/>
        </w:trPr>
        <w:tc>
          <w:tcPr>
            <w:tcW w:type="dxa" w:w="3249"/>
            <w:vAlign w:val="center"/>
          </w:tcPr>
          <w:p>
            <w:pPr>
              <w:spacing w:after="40"/>
            </w:pPr>
            <w:r>
              <w:rPr>
                <w:rFonts w:ascii="Noto Sans" w:hAnsi="Noto Sans" w:eastAsia="Arial Unicode MS" w:cs="Noto Sans"/>
                <w:sz w:val="17"/>
              </w:rPr>
              <w:t>Único sitio web global</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Documentos legales, descargas de juegos, servicios de cuenta, comunidad, tienda, anuncios y puntos de entrada oficiales</w:t>
            </w:r>
          </w:p>
        </w:tc>
      </w:tr>
      <w:tr>
        <w:trPr>
          <w:cantSplit/>
        </w:trPr>
        <w:tc>
          <w:tcPr>
            <w:tcW w:type="dxa" w:w="3249"/>
            <w:vAlign w:val="center"/>
          </w:tcPr>
          <w:p>
            <w:pPr>
              <w:spacing w:after="40"/>
            </w:pPr>
            <w:r>
              <w:rPr>
                <w:rFonts w:ascii="Noto Sans" w:hAnsi="Noto Sans" w:eastAsia="Arial Unicode MS" w:cs="Noto Sans"/>
                <w:sz w:val="17"/>
              </w:rPr>
              <w:t>Entrada oficial en chino</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Entrada oficial en japonés</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Abierto;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Entrada oficial de idioma coreano</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Las entradas oficiales en coreano dawnbloom.kr y www.dawnbloom.kr utilizan redirecciones HTTPS 301 a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Los cambios de DNS pueden tardar en propagarse. Utilizan el sitio web unificado y no crean un sitio web separado, cuenta, base de datos o servidor de juego coreano.</w:t>
            </w:r>
          </w:p>
        </w:tc>
      </w:tr>
      <w:tr>
        <w:trPr>
          <w:cantSplit/>
        </w:trPr>
        <w:tc>
          <w:tcPr>
            <w:tcW w:type="dxa" w:w="3249"/>
            <w:vAlign w:val="center"/>
          </w:tcPr>
          <w:p>
            <w:pPr>
              <w:spacing w:after="40"/>
            </w:pPr>
            <w:r>
              <w:rPr>
                <w:rFonts w:ascii="Noto Sans" w:hAnsi="Noto Sans" w:eastAsia="Arial Unicode MS" w:cs="Noto Sans"/>
                <w:sz w:val="17"/>
              </w:rPr>
              <w:t>Entrada existente de protección de marca en chino</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Entrada existente de protección de marca en japonés</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Correo electrónico de atención al cliente</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Atención al cliente para jugadores, problemas de cuenta, situaciones anómalas y soporte general</w:t>
            </w:r>
          </w:p>
        </w:tc>
      </w:tr>
      <w:tr>
        <w:trPr>
          <w:cantSplit/>
        </w:trPr>
        <w:tc>
          <w:tcPr>
            <w:tcW w:type="dxa" w:w="3249"/>
            <w:vAlign w:val="center"/>
          </w:tcPr>
          <w:p>
            <w:pPr>
              <w:spacing w:after="40"/>
            </w:pPr>
            <w:r>
              <w:rPr>
                <w:rFonts w:ascii="Noto Sans" w:hAnsi="Noto Sans" w:eastAsia="Arial Unicode MS" w:cs="Noto Sans"/>
                <w:sz w:val="17"/>
              </w:rPr>
              <w:t>Sugerencias / quejas</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Sugerencias cotidianas, quejas de servicio y retroalimentación de la experiencia</w:t>
            </w:r>
          </w:p>
        </w:tc>
      </w:tr>
      <w:tr>
        <w:trPr>
          <w:cantSplit/>
        </w:trPr>
        <w:tc>
          <w:tcPr>
            <w:tcW w:type="dxa" w:w="3249"/>
            <w:vAlign w:val="center"/>
          </w:tcPr>
          <w:p>
            <w:pPr>
              <w:spacing w:after="40"/>
            </w:pPr>
            <w:r>
              <w:rPr>
                <w:rFonts w:ascii="Noto Sans" w:hAnsi="Noto Sans" w:eastAsia="Arial Unicode MS" w:cs="Noto Sans"/>
                <w:sz w:val="17"/>
              </w:rPr>
              <w:t>Correo electrónico de facturación</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Pedidos, pagos, facturación, reembolsos y asuntos relacionados con transacciones</w:t>
            </w:r>
          </w:p>
        </w:tc>
      </w:tr>
      <w:tr>
        <w:trPr>
          <w:cantSplit/>
        </w:trPr>
        <w:tc>
          <w:tcPr>
            <w:tcW w:type="dxa" w:w="3249"/>
            <w:vAlign w:val="center"/>
          </w:tcPr>
          <w:p>
            <w:pPr>
              <w:spacing w:after="40"/>
            </w:pPr>
            <w:r>
              <w:rPr>
                <w:rFonts w:ascii="Noto Sans" w:hAnsi="Noto Sans" w:eastAsia="Arial Unicode MS" w:cs="Noto Sans"/>
                <w:sz w:val="17"/>
              </w:rPr>
              <w:t>Correo electrónico de medios/cooperación</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Consultas de prensa, cooperación empresarial y asuntos no relacionados con el servicio al cliente</w:t>
            </w:r>
          </w:p>
        </w:tc>
      </w:tr>
      <w:tr>
        <w:trPr>
          <w:cantSplit/>
        </w:trPr>
        <w:tc>
          <w:tcPr>
            <w:tcW w:type="dxa" w:w="3249"/>
            <w:vAlign w:val="center"/>
          </w:tcPr>
          <w:p>
            <w:pPr>
              <w:spacing w:after="40"/>
            </w:pPr>
            <w:r>
              <w:rPr>
                <w:rFonts w:ascii="Noto Sans" w:hAnsi="Noto Sans" w:eastAsia="Arial Unicode MS" w:cs="Noto Sans"/>
                <w:sz w:val="17"/>
              </w:rPr>
              <w:t>Correo electrónico legal/de derechos de autor</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Avisos legales, derechos de autor, propiedad intelectual y comunicaciones legales formales</w:t>
            </w:r>
          </w:p>
        </w:tc>
      </w:tr>
      <w:tr>
        <w:trPr>
          <w:cantSplit/>
        </w:trPr>
        <w:tc>
          <w:tcPr>
            <w:tcW w:type="dxa" w:w="3249"/>
            <w:vAlign w:val="center"/>
          </w:tcPr>
          <w:p>
            <w:pPr>
              <w:spacing w:after="40"/>
            </w:pPr>
            <w:r>
              <w:rPr>
                <w:rFonts w:ascii="Noto Sans" w:hAnsi="Noto Sans" w:eastAsia="Arial Unicode MS" w:cs="Noto Sans"/>
                <w:sz w:val="17"/>
              </w:rPr>
              <w:t>Correo electrónico de vulnerabilidades de seguridad</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Vulnerabilidades de seguridad, problemas técnicos de seguridad y divulgación responsable</w:t>
            </w:r>
          </w:p>
        </w:tc>
      </w:tr>
    </w:tbl>
    <w:p>
      <w:pPr>
        <w:spacing w:after="40"/>
      </w:pPr>
    </w:p>
    <w:p>
      <w:pPr>
        <w:keepLines w:val="0"/>
      </w:pPr>
      <w:r>
        <w:rPr>
          <w:rFonts w:ascii="Noto Sans" w:hAnsi="Noto Sans" w:eastAsia="Arial Unicode MS" w:cs="Noto Sans"/>
          <w:b w:val="0"/>
        </w:rPr>
        <w:t>Las entradas regionales en la tabla guían únicamente la selección de idioma. No gestionan independientemente el registro, autenticación, cambio de contraseña, recargas, pagos o pedidos. Tras una redirección normal, verifique el nombre de host completo del sitio principal y la ruta del idioma en la barra de direcciones. Ambas entradas regionales están abiertas y utilizan redirecciones HTTPS 301 a las rutas de idioma del sitio principal indicadas. Las entradas regionales no crean un nuevo operador ni base de datos, ni migran cuentas o datos de jugadores. Sus sufijos no establecen alojamiento en China continental, registro ICP ni una corporación o sucursal japonesa. El operador proporcionó la identidad de registro de la empresa para la entrada de China. El titular registrado y la autorización formal de la entrada de Japón aún deben verificarse; este aviso no afirma la propiedad directa de la empresa. Los dominios de protección de marca existentes siguen estando listados. La visualización de Punycode por sí sola no es evidencia de suplantación, pero verifique la ortografía completa y la dirección final. Otros dominios similares no se vuelven oficiales por similitud. El correo electrónico oficial sigue utilizando solo @dawnbloom.net.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Servicio</w:t>
            </w:r>
          </w:p>
        </w:tc>
        <w:tc>
          <w:tcPr>
            <w:tcW w:type="dxa" w:w="4873"/>
            <w:vAlign w:val="center"/>
            <w:shd w:fill="DCE8F7"/>
          </w:tcPr>
          <w:p>
            <w:pPr>
              <w:keepNext/>
              <w:spacing w:after="40"/>
            </w:pPr>
            <w:r>
              <w:rPr>
                <w:rFonts w:ascii="Noto Sans" w:hAnsi="Noto Sans" w:eastAsia="Arial Unicode MS" w:cs="Noto Sans"/>
                <w:b/>
                <w:sz w:val="17"/>
              </w:rPr>
              <w:t>Ruta oficial del sitio principal (reemplazar zh por en o ja)</w:t>
            </w:r>
          </w:p>
        </w:tc>
      </w:tr>
      <w:tr>
        <w:trPr>
          <w:cantSplit/>
        </w:trPr>
        <w:tc>
          <w:tcPr>
            <w:tcW w:type="dxa" w:w="4873"/>
            <w:vAlign w:val="center"/>
          </w:tcPr>
          <w:p>
            <w:pPr>
              <w:spacing w:after="40"/>
            </w:pPr>
            <w:r>
              <w:rPr>
                <w:rFonts w:ascii="Noto Sans" w:hAnsi="Noto Sans" w:eastAsia="Arial Unicode MS" w:cs="Noto Sans"/>
                <w:sz w:val="17"/>
              </w:rPr>
              <w:t>Inicio de sesión de cuenta</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Recuperación y controles de seguridad</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Soporte y contacto</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Descargas oficiales</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Tienda, recargas y facturación (sujeto a disponibilidad)</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Entidad Operadora e Información de Contacto Legal</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Proyecto</w:t>
            </w:r>
          </w:p>
        </w:tc>
        <w:tc>
          <w:tcPr>
            <w:tcW w:type="dxa" w:w="4873"/>
            <w:vAlign w:val="center"/>
            <w:shd w:fill="DCE8F7"/>
          </w:tcPr>
          <w:p>
            <w:pPr>
              <w:keepNext/>
              <w:spacing w:after="40"/>
            </w:pPr>
            <w:r>
              <w:rPr>
                <w:rFonts w:ascii="Noto Sans" w:hAnsi="Noto Sans" w:eastAsia="Arial Unicode MS" w:cs="Noto Sans"/>
                <w:b/>
                <w:sz w:val="17"/>
              </w:rPr>
              <w:t>Información</w:t>
            </w:r>
          </w:p>
        </w:tc>
      </w:tr>
      <w:tr>
        <w:trPr>
          <w:cantSplit/>
        </w:trPr>
        <w:tc>
          <w:tcPr>
            <w:tcW w:type="dxa" w:w="4873"/>
            <w:vAlign w:val="center"/>
          </w:tcPr>
          <w:p>
            <w:pPr>
              <w:spacing w:after="40"/>
            </w:pPr>
            <w:r>
              <w:rPr>
                <w:rFonts w:ascii="Noto Sans" w:hAnsi="Noto Sans" w:eastAsia="Arial Unicode MS" w:cs="Noto Sans"/>
                <w:sz w:val="17"/>
              </w:rPr>
              <w:t>Operador / proveedor de servicios del sitio web</w:t>
            </w:r>
          </w:p>
        </w:tc>
        <w:tc>
          <w:tcPr>
            <w:tcW w:type="dxa" w:w="4873"/>
            <w:vAlign w:val="center"/>
          </w:tcPr>
          <w:p>
            <w:pPr>
              <w:spacing w:after="40"/>
            </w:pPr>
            <w:r>
              <w:rPr>
                <w:rFonts w:ascii="Noto Sans" w:hAnsi="Noto Sans" w:eastAsia="Arial Unicode MS" w:cs="Noto Sans"/>
                <w:sz w:val="17"/>
              </w:rPr>
              <w:t>上海追光智创文化传媒有限公司 (Nombre público en inglés: SHANGHAI LUMIREALM CREATIVE MEDIA CO., LTD.)</w:t>
            </w:r>
          </w:p>
        </w:tc>
      </w:tr>
      <w:tr>
        <w:trPr>
          <w:cantSplit/>
        </w:trPr>
        <w:tc>
          <w:tcPr>
            <w:tcW w:type="dxa" w:w="4873"/>
            <w:vAlign w:val="center"/>
          </w:tcPr>
          <w:p>
            <w:pPr>
              <w:spacing w:after="40"/>
            </w:pPr>
            <w:r>
              <w:rPr>
                <w:rFonts w:ascii="Noto Sans" w:hAnsi="Noto Sans" w:eastAsia="Arial Unicode MS" w:cs="Noto Sans"/>
                <w:sz w:val="17"/>
              </w:rPr>
              <w:t>Dirección operativa / dirección de contacto legal</w:t>
            </w:r>
          </w:p>
        </w:tc>
        <w:tc>
          <w:tcPr>
            <w:tcW w:type="dxa" w:w="4873"/>
            <w:vAlign w:val="center"/>
          </w:tcPr>
          <w:p>
            <w:pPr>
              <w:spacing w:after="40"/>
            </w:pPr>
            <w:r>
              <w:rPr>
                <w:rFonts w:ascii="Noto Sans" w:hAnsi="Noto Sans" w:eastAsia="Arial Unicode MS" w:cs="Noto Sans"/>
                <w:sz w:val="17"/>
              </w:rPr>
              <w:t>Sala 218, Edificio 3, N.º 336 Tianjiao Road, Área Especial de Lin-gang, Zona Piloto de Libre Comercio de China (Shanghái), China</w:t>
            </w:r>
          </w:p>
        </w:tc>
      </w:tr>
    </w:tbl>
    <w:p>
      <w:pPr>
        <w:spacing w:after="40"/>
      </w:pPr>
    </w:p>
    <w:p>
      <w:pPr>
        <w:pStyle w:val="Heading1"/>
        <w:keepLines w:val="0"/>
      </w:pPr>
      <w:r>
        <w:rPr>
          <w:rFonts w:ascii="Noto Sans" w:hAnsi="Noto Sans" w:eastAsia="Arial Unicode MS" w:cs="Noto Sans"/>
          <w:b w:val="0"/>
        </w:rPr>
        <w:t>3. Canales Oficiales de Redes Sociales y Mensajería Instantánea</w:t>
      </w:r>
    </w:p>
    <w:p>
      <w:pPr>
        <w:keepLines w:val="0"/>
      </w:pPr>
      <w:r>
        <w:rPr>
          <w:rFonts w:ascii="Noto Sans" w:hAnsi="Noto Sans" w:eastAsia="Arial Unicode MS" w:cs="Noto Sans"/>
          <w:b w:val="0"/>
        </w:rPr>
        <w:t xml:space="preserve">Los nombres oficiales, nombres de usuario y enlaces de plataforma pueden cambiar. Abra los canales enumerados desde Soporte o Contacto en el sitio principal; los resultados de búsqueda, avatares o conteos de seguidores no establecen la identidad. Verifique los contactos dudosos a través de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Las plataformas compatibles pueden incluir Facebook, Threads, Instagram, YouTube, X, Bluesky, Xiaohongshu, WeChat, Douyin y otras.</w:t>
      </w:r>
    </w:p>
    <w:p>
      <w:pPr>
        <w:pStyle w:val="ListBullet"/>
        <w:keepLines w:val="0"/>
      </w:pPr>
      <w:r>
        <w:rPr>
          <w:rFonts w:ascii="Noto Sans" w:hAnsi="Noto Sans" w:eastAsia="Arial Unicode MS" w:cs="Noto Sans"/>
          <w:b w:val="0"/>
        </w:rPr>
        <w:t>Si una cuenta en cualquier plataforma no está listada en la página de canales oficiales de dawnbloom.net, incluso si su nombre, foto de perfil o contenido parece similar al oficial, no asuma que es una cuenta oficial basándose únicamente en la semejanza visual.</w:t>
      </w:r>
    </w:p>
    <w:p>
      <w:pPr>
        <w:pStyle w:val="ListBullet"/>
        <w:keepLines w:val="0"/>
      </w:pPr>
      <w:r>
        <w:rPr>
          <w:rFonts w:ascii="Noto Sans" w:hAnsi="Noto Sans" w:eastAsia="Arial Unicode MS" w:cs="Noto Sans"/>
          <w:b w:val="0"/>
        </w:rPr>
        <w:t>Cualquier adición, suspensión, reubicación o cambio de nombre de los canales oficiales estará sujeto al anuncio oficial más reciente en dawnbloom.net.</w:t>
      </w:r>
    </w:p>
    <w:p>
      <w:pPr>
        <w:pStyle w:val="Heading1"/>
        <w:keepLines w:val="0"/>
      </w:pPr>
      <w:r>
        <w:rPr>
          <w:rFonts w:ascii="Noto Sans" w:hAnsi="Noto Sans" w:eastAsia="Arial Unicode MS" w:cs="Noto Sans"/>
          <w:b w:val="0"/>
        </w:rPr>
        <w:t>4. Cosas que el personal oficial nunca le pedirá que haga</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Manténgase alerta: el personal de atención al cliente oficial nunca le solicitará su contraseña de cuenta, código de verificación único o contraseña de pago mediante mensajes privados. Tampoco le pedirán que transfiera dinero a una cuenta personal bajo pretextos como "desbloquear", "reembolso", "reclamar recompensas", "restaurar equipo" o "verificar activos".</w:t>
            </w:r>
          </w:p>
        </w:tc>
      </w:tr>
    </w:tbl>
    <w:p>
      <w:pPr>
        <w:spacing w:after="40"/>
      </w:pPr>
    </w:p>
    <w:p>
      <w:pPr>
        <w:keepLines w:val="0"/>
      </w:pPr>
      <w:r>
        <w:rPr>
          <w:rFonts w:ascii="Noto Sans" w:hAnsi="Noto Sans" w:eastAsia="Arial Unicode MS" w:cs="Noto Sans"/>
          <w:b w:val="0"/>
        </w:rPr>
        <w:t>Los códigos de Token rotativos, los detalles de recuperación de cuentas y las conversaciones con Dawnbloom Guide nunca son motivo para solicitar contraseñas o pagos por chat privado. Dawnbloom Guide no omite los controles formales para cuentas, activos, apelaciones o datos internos.</w:t>
      </w:r>
    </w:p>
    <w:p>
      <w:pPr>
        <w:pStyle w:val="ListBullet"/>
        <w:keepLines w:val="0"/>
      </w:pPr>
      <w:r>
        <w:rPr>
          <w:rFonts w:ascii="Noto Sans" w:hAnsi="Noto Sans" w:eastAsia="Arial Unicode MS" w:cs="Noto Sans"/>
          <w:b w:val="0"/>
        </w:rPr>
        <w:t>Nunca solicitarán su contraseña de cuenta de juego, contraseña de Apple ID, contraseña de Steam, contraseña de pago de WeChat/Alipay o contraseña de tarjeta bancaria.</w:t>
      </w:r>
    </w:p>
    <w:p>
      <w:pPr>
        <w:pStyle w:val="ListBullet"/>
        <w:keepLines w:val="0"/>
      </w:pPr>
      <w:r>
        <w:rPr>
          <w:rFonts w:ascii="Noto Sans" w:hAnsi="Noto Sans" w:eastAsia="Arial Unicode MS" w:cs="Noto Sans"/>
          <w:b w:val="0"/>
        </w:rPr>
        <w:t>Nunca solicitarán su código de verificación SMS, código de verificación por correo electrónico, código de autenticación de dos factores, clave dinámica Lightseeker Token (si está habilitado) o cualquier otro código de seguridad de un solo uso.</w:t>
      </w:r>
    </w:p>
    <w:p>
      <w:pPr>
        <w:pStyle w:val="ListBullet"/>
        <w:keepLines w:val="0"/>
      </w:pPr>
      <w:r>
        <w:rPr>
          <w:rFonts w:ascii="Noto Sans" w:hAnsi="Noto Sans" w:eastAsia="Arial Unicode MS" w:cs="Noto Sans"/>
          <w:b w:val="0"/>
        </w:rPr>
        <w:t>Nunca requerirán que habilites el intercambio de pantalla, el control remoto o instales cualquier software de asistencia remota desconocido, APK, archivo de descripción, extensión del navegador o supuesta "extensión de seguridad".</w:t>
      </w:r>
    </w:p>
    <w:p>
      <w:pPr>
        <w:pStyle w:val="ListBullet"/>
        <w:keepLines w:val="0"/>
      </w:pPr>
      <w:r>
        <w:rPr>
          <w:rFonts w:ascii="Noto Sans" w:hAnsi="Noto Sans" w:eastAsia="Arial Unicode MS" w:cs="Noto Sans"/>
          <w:b w:val="0"/>
        </w:rPr>
        <w:t>No solicitaremos que transfieras Magic Coins, Phantom Beasts, equipos o elementos del juego a supuestos "cuentas GM", "cuentas seguras" o "cuentas de verificación" para validación.</w:t>
      </w:r>
    </w:p>
    <w:p>
      <w:pPr>
        <w:pStyle w:val="ListBullet"/>
        <w:keepLines w:val="0"/>
      </w:pPr>
      <w:r>
        <w:rPr>
          <w:rFonts w:ascii="Noto Sans" w:hAnsi="Noto Sans" w:eastAsia="Arial Unicode MS" w:cs="Noto Sans"/>
          <w:b w:val="0"/>
        </w:rPr>
        <w:t>Nunca requerirán que pagues a través de WeChat personal, Alipay personal, tarjeta bancaria privada, tarjeta regalo, dirección de criptomonedas o cualquier otro canal de pago no oficial.</w:t>
      </w:r>
    </w:p>
    <w:p>
      <w:pPr>
        <w:pStyle w:val="ListBullet"/>
        <w:keepLines w:val="0"/>
      </w:pPr>
      <w:r>
        <w:rPr>
          <w:rFonts w:ascii="Noto Sans" w:hAnsi="Noto Sans" w:eastAsia="Arial Unicode MS" w:cs="Noto Sans"/>
          <w:b w:val="0"/>
        </w:rPr>
        <w:t>Nunca solicitarán pagos adicionales bajo pretextos como "transferencia antes del reembolso", "pago de depósito primero", "tarifa de desbloqueo de cuenta", "tarifa de liberación de multa", "tarifa de verificación" o "tarifa de gestión de cobro de premios".</w:t>
      </w:r>
    </w:p>
    <w:p>
      <w:pPr>
        <w:pStyle w:val="ListBullet"/>
        <w:keepLines w:val="0"/>
      </w:pPr>
      <w:r>
        <w:rPr>
          <w:rFonts w:ascii="Noto Sans" w:hAnsi="Noto Sans" w:eastAsia="Arial Unicode MS" w:cs="Noto Sans"/>
          <w:b w:val="0"/>
        </w:rPr>
        <w:t>Nunca te indicarán que vuelvas a iniciar sesión en tu cuenta de juego o ingreses los detalles completos de pago a través de enlaces no oficiales.</w:t>
      </w:r>
    </w:p>
    <w:p>
      <w:pPr>
        <w:pStyle w:val="ListBullet"/>
        <w:keepLines w:val="0"/>
      </w:pPr>
      <w:r>
        <w:rPr>
          <w:rFonts w:ascii="Noto Sans" w:hAnsi="Noto Sans" w:eastAsia="Arial Unicode MS" w:cs="Noto Sans"/>
          <w:b w:val="0"/>
        </w:rPr>
        <w:t>Nunca prometerán modificaciones privadas pagadas a las penalizaciones, aumento de probabilidades de victoria, distribución de artículos raros o evasión de las reglas oficiales.</w:t>
      </w:r>
    </w:p>
    <w:p>
      <w:pPr>
        <w:pStyle w:val="Heading1"/>
        <w:keepLines w:val="0"/>
      </w:pPr>
      <w:r>
        <w:rPr>
          <w:rFonts w:ascii="Noto Sans" w:hAnsi="Noto Sans" w:eastAsia="Arial Unicode MS" w:cs="Noto Sans"/>
          <w:b w:val="0"/>
        </w:rPr>
        <w:t>Cinco. Métodos comunes de suplantación de identidad</w:t>
      </w:r>
    </w:p>
    <w:p>
      <w:pPr>
        <w:pStyle w:val="ListBullet"/>
        <w:keepLines w:val="0"/>
      </w:pPr>
      <w:r>
        <w:rPr>
          <w:rFonts w:ascii="Noto Sans" w:hAnsi="Noto Sans" w:eastAsia="Arial Unicode MS" w:cs="Noto Sans"/>
          <w:b w:val="0"/>
        </w:rPr>
        <w:t>Utiliza dominios, ortografías, subdominios o enlaces cortos extremadamente similares a dawnbloom.net para atraer a los jugadores a iniciar sesión.</w:t>
      </w:r>
    </w:p>
    <w:p>
      <w:pPr>
        <w:keepLines w:val="0"/>
      </w:pPr>
      <w:r>
        <w:rPr>
          <w:rFonts w:ascii="Noto Sans" w:hAnsi="Noto Sans" w:eastAsia="Arial Unicode MS" w:cs="Noto Sans"/>
          <w:b w:val="0"/>
        </w:rPr>
        <w:t>Sitios web falsos, listados de tiendas, archivos APK o EXE, actualizaciones del navegador, clientes de noticias o correo, herramientas de descarga o archivo, páginas de Token y servicios de la Guía de Dawnbloom pueden solicitar credenciales o instalar malware. Confíe en dawnbloom.net y las tiendas oficiales que este enlaza explícitamente; Google Drive y Baidu Netdisk no son espejos oficiales actuales.</w:t>
      </w:r>
    </w:p>
    <w:p>
      <w:pPr>
        <w:pStyle w:val="ListBullet"/>
        <w:keepLines w:val="0"/>
      </w:pPr>
      <w:r>
        <w:rPr>
          <w:rFonts w:ascii="Noto Sans" w:hAnsi="Noto Sans" w:eastAsia="Arial Unicode MS" w:cs="Noto Sans"/>
          <w:b w:val="0"/>
        </w:rPr>
        <w:t>Copian avatares oficiales, logotipos, guiones de atención al cliente e imágenes de anuncios para crear cuentas de redes sociales, chats grupales o páginas de pago de alta fidelidad.</w:t>
      </w:r>
    </w:p>
    <w:p>
      <w:pPr>
        <w:pStyle w:val="ListBullet"/>
        <w:keepLines w:val="0"/>
      </w:pPr>
      <w:r>
        <w:rPr>
          <w:rFonts w:ascii="Noto Sans" w:hAnsi="Noto Sans" w:eastAsia="Arial Unicode MS" w:cs="Noto Sans"/>
          <w:b w:val="0"/>
        </w:rPr>
        <w:t>Se hacen pasar por GMs, atención al cliente, administradores, streamers colaboradores o "personal interno", alegando riesgos de cuenta y creando urgencia.</w:t>
      </w:r>
    </w:p>
    <w:p>
      <w:pPr>
        <w:pStyle w:val="ListBullet"/>
        <w:keepLines w:val="0"/>
      </w:pPr>
      <w:r>
        <w:rPr>
          <w:rFonts w:ascii="Noto Sans" w:hAnsi="Noto Sans" w:eastAsia="Arial Unicode MS" w:cs="Noto Sans"/>
          <w:b w:val="0"/>
        </w:rPr>
        <w:t>Utilizan ofertas señuelo como "monedas mágicas gratis", "bestias fantasma raras", "premios ganados", "elegibilidad para pruebas", "compensación de reembolso" o "kits de regalo internos" para enviar códigos QR o enlaces.</w:t>
      </w:r>
    </w:p>
    <w:p>
      <w:pPr>
        <w:pStyle w:val="ListBullet"/>
        <w:keepLines w:val="0"/>
      </w:pPr>
      <w:r>
        <w:rPr>
          <w:rFonts w:ascii="Noto Sans" w:hAnsi="Noto Sans" w:eastAsia="Arial Unicode MS" w:cs="Noto Sans"/>
          <w:b w:val="0"/>
        </w:rPr>
        <w:t>Se hacen pasar por atención al cliente y te añaden proactivamente como amigo, solicitando códigos de verificación, capturas de pantalla de activos, compartir pantalla o transferencias.</w:t>
      </w:r>
    </w:p>
    <w:p>
      <w:pPr>
        <w:pStyle w:val="ListBullet"/>
        <w:keepLines w:val="0"/>
      </w:pPr>
      <w:r>
        <w:rPr>
          <w:rFonts w:ascii="Noto Sans" w:hAnsi="Noto Sans" w:eastAsia="Arial Unicode MS" w:cs="Noto Sans"/>
          <w:b w:val="0"/>
        </w:rPr>
        <w:t>Utilizan cuentas de amigos robadas para enviar enlaces o archivos, haciendo que la fuente parezca legítima.</w:t>
      </w:r>
    </w:p>
    <w:p>
      <w:pPr>
        <w:pStyle w:val="Heading1"/>
        <w:keepLines w:val="0"/>
      </w:pPr>
      <w:r>
        <w:rPr>
          <w:rFonts w:ascii="Noto Sans" w:hAnsi="Noto Sans" w:eastAsia="Arial Unicode MS" w:cs="Noto Sans"/>
          <w:b w:val="0"/>
        </w:rPr>
        <w:t>Sección Seis: Seguridad de pagos y tiendas</w:t>
      </w:r>
    </w:p>
    <w:p>
      <w:pPr>
        <w:keepLines w:val="0"/>
      </w:pPr>
      <w:r>
        <w:rPr>
          <w:rFonts w:ascii="Noto Sans" w:hAnsi="Noto Sans" w:eastAsia="Arial Unicode MS" w:cs="Noto Sans"/>
          <w:b w:val="0"/>
        </w:rPr>
        <w:t>Todos los bienes digitales oficiales, cofres y otro contenido de la tienda se regirán por lo mostrado en el sitio web oficial y en los puntos de entrada oficiales dentro del juego. Los jugadores deben completar los pagos a través del sitio web oficial o mediante las tiendas de terceros/pagos designadas listadas por la oficial.</w:t>
      </w:r>
    </w:p>
    <w:p>
      <w:pPr>
        <w:keepLines w:val="0"/>
      </w:pPr>
      <w:r>
        <w:rPr>
          <w:rFonts w:ascii="Noto Sans" w:hAnsi="Noto Sans" w:eastAsia="Arial Unicode MS" w:cs="Noto Sans"/>
          <w:b w:val="0"/>
        </w:rPr>
        <w:t xml:space="preserve">Si la página del pedido, el destinatario del pago, el monto, el dominio o la URL de redirección difieren significativamente de lo publicado oficialmente en el sitio web, detenga todas las transacciones y verifique a través de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o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Los pagos privados fuera de línea o los servicios privados de "recarga en el juego" no se consideran transacciones oficiales.</w:t>
      </w:r>
    </w:p>
    <w:p>
      <w:pPr>
        <w:pStyle w:val="Heading1"/>
        <w:keepLines w:val="0"/>
      </w:pPr>
      <w:r>
        <w:rPr>
          <w:rFonts w:ascii="Noto Sans" w:hAnsi="Noto Sans" w:eastAsia="Arial Unicode MS" w:cs="Noto Sans"/>
          <w:b w:val="0"/>
        </w:rPr>
        <w:t>Sección Siete: Qué hacer al recibir mensajes sospechosos</w:t>
      </w:r>
    </w:p>
    <w:p>
      <w:pPr>
        <w:pStyle w:val="ListBullet"/>
        <w:keepLines w:val="0"/>
      </w:pPr>
      <w:r>
        <w:rPr>
          <w:rFonts w:ascii="Noto Sans" w:hAnsi="Noto Sans" w:eastAsia="Arial Unicode MS" w:cs="Noto Sans"/>
          <w:b w:val="0"/>
        </w:rPr>
        <w:t>No proceda: No haga clic en enlaces, escanee códigos QR, descargue archivos, ingrese información de cuenta o realice pagos.</w:t>
      </w:r>
    </w:p>
    <w:p>
      <w:pPr>
        <w:pStyle w:val="ListBullet"/>
        <w:keepLines w:val="0"/>
      </w:pPr>
      <w:r>
        <w:rPr>
          <w:rFonts w:ascii="Noto Sans" w:hAnsi="Noto Sans" w:eastAsia="Arial Unicode MS" w:cs="Noto Sans"/>
          <w:b w:val="0"/>
        </w:rPr>
        <w:t>Conserve la evidencia: Guarde la página principal de su cuenta, registros de chat, enlaces, códigos QR, páginas de transferencia, números de pedido y marcas de tiempo.</w:t>
      </w:r>
    </w:p>
    <w:p>
      <w:pPr>
        <w:pStyle w:val="ListBullet"/>
        <w:keepLines w:val="0"/>
      </w:pPr>
      <w:r>
        <w:rPr>
          <w:rFonts w:ascii="Noto Sans" w:hAnsi="Noto Sans" w:eastAsia="Arial Unicode MS" w:cs="Noto Sans"/>
          <w:b w:val="0"/>
        </w:rPr>
        <w:t>Escriba usted mismo la dirección del sitio principal y use su navegación para ir a Player Center, Support o Downloads. No confíe en la etiqueta de enlace de un desconocido. Inicie sesión a través del Player Center del sitio principal; abra la recuperación y los controles sensibles desde Support Account Management. Use las entradas de tienda, recarga y facturación del sitio principal para pagos y pedidos, verificando la disponibilidad real y cualquier plataforma de pago en esas páginas.</w:t>
      </w:r>
    </w:p>
    <w:p>
      <w:pPr>
        <w:pStyle w:val="ListBullet"/>
        <w:keepLines w:val="0"/>
      </w:pPr>
      <w:r>
        <w:rPr>
          <w:rFonts w:ascii="Noto Sans" w:hAnsi="Noto Sans" w:eastAsia="Arial Unicode MS" w:cs="Noto Sans"/>
          <w:b w:val="0"/>
        </w:rPr>
        <w:t>Si ya se ha ingresado la información de la cuenta: cambie inmediatamente su contraseña, cierre sesión en todas las sesiones activas restantes y verifique la seguridad de los correos electrónicos asociados, Apple, Steam, WeChat y otras cuentas de terceros.</w:t>
      </w:r>
    </w:p>
    <w:p>
      <w:pPr>
        <w:pStyle w:val="ListBullet"/>
        <w:keepLines w:val="0"/>
      </w:pPr>
      <w:r>
        <w:rPr>
          <w:rFonts w:ascii="Noto Sans" w:hAnsi="Noto Sans" w:eastAsia="Arial Unicode MS" w:cs="Noto Sans"/>
          <w:b w:val="0"/>
        </w:rPr>
        <w:t>Si el pago ya se ha realizado: contacte inmediatamente con la plataforma de pago, el banco emisor o la institución financiera relevante para solicitar un pago stop, una apelación o un bloqueo; en casos que involucren grandes cantidades o presuntas actividades delictivas, denuncie el incidente ante las autoridades policiales locales de inmediato.</w:t>
      </w:r>
    </w:p>
    <w:p>
      <w:pPr>
        <w:pStyle w:val="ListBullet"/>
        <w:keepLines w:val="0"/>
      </w:pPr>
      <w:r>
        <w:rPr>
          <w:rFonts w:ascii="Noto Sans" w:hAnsi="Noto Sans" w:eastAsia="Arial Unicode MS" w:cs="Noto Sans"/>
          <w:b w:val="0"/>
        </w:rPr>
        <w:t>Si se descubre una cuenta falsa: repórtela en la plataforma correspondiente y envíe el enlace de la página al servicio de atención al cliente oficial para su verificación adicional y divulgación pública.</w:t>
      </w:r>
    </w:p>
    <w:p>
      <w:pPr>
        <w:pStyle w:val="Heading1"/>
        <w:keepLines w:val="0"/>
      </w:pPr>
      <w:r>
        <w:rPr>
          <w:rFonts w:ascii="Noto Sans" w:hAnsi="Noto Sans" w:eastAsia="Arial Unicode MS" w:cs="Noto Sans"/>
          <w:b w:val="0"/>
        </w:rPr>
        <w:t>Ocho. Información que el oficial puede solicitar para verificación</w:t>
      </w:r>
    </w:p>
    <w:p>
      <w:pPr>
        <w:keepLines w:val="0"/>
      </w:pPr>
      <w:r>
        <w:rPr>
          <w:rFonts w:ascii="Noto Sans" w:hAnsi="Noto Sans" w:eastAsia="Arial Unicode MS" w:cs="Noto Sans"/>
          <w:b w:val="0"/>
        </w:rPr>
        <w:t>Para abordar problemas relacionados con cuentas, pedidos, robo de cuentas, transacciones anómalas o disputas con el servicio al cliente, lo oficial puede solicitarle que proporcione información de verificación necesaria, como: nombre de la cuenta, nombre del personaje/ID del personaje, número de pedido, hora de ocurrencia del incidente, detalles del dispositivo o inicio de sesión, capturas de pantalla del juego, capturas de pantalla de chat relevantes y su información de contacto enviada activamente.</w:t>
      </w:r>
    </w:p>
    <w:p>
      <w:pPr>
        <w:keepLines w:val="0"/>
      </w:pPr>
      <w:r>
        <w:rPr>
          <w:rFonts w:ascii="Noto Sans" w:hAnsi="Noto Sans" w:eastAsia="Arial Unicode MS" w:cs="Noto Sans"/>
          <w:b w:val="0"/>
        </w:rPr>
        <w:t>Nos adherimos al principio de datos mínimos necesarios y no solicitaremos ninguna credencial de alto riesgo no relacionada con el problema. En particular, nunca solicitaremos su contraseña de cuenta, contraseña de pago o código de verificación de un solo uso.</w:t>
      </w:r>
    </w:p>
    <w:p>
      <w:pPr>
        <w:pStyle w:val="Heading1"/>
        <w:keepLines w:val="0"/>
      </w:pPr>
      <w:r>
        <w:rPr>
          <w:rFonts w:ascii="Noto Sans" w:hAnsi="Noto Sans" w:eastAsia="Arial Unicode MS" w:cs="Noto Sans"/>
          <w:b w:val="0"/>
        </w:rPr>
        <w:t>Nueve. Prioridad de las comunicaciones oficiales</w:t>
      </w:r>
    </w:p>
    <w:p>
      <w:pPr>
        <w:keepLines w:val="0"/>
      </w:pPr>
      <w:r>
        <w:rPr>
          <w:rFonts w:ascii="Noto Sans" w:hAnsi="Noto Sans" w:eastAsia="Arial Unicode MS" w:cs="Noto Sans"/>
          <w:b w:val="0"/>
        </w:rPr>
        <w:t>Cuando surjan discrepancias entre la información difundida a través de diferentes plataformas sociales, relatos de jugadores, capturas de pantalla de chats grupales o sitios web de terceros, prevalecerán los anuncios oficiales en dawnbloom.net, los documentos legales correspondientes y los avisos oficiales dentro del juego. Las declaraciones individuales de jugadores, streamers, administradores de grupos, voluntarios, socios o miembros de la comunidad no constituyen una representación oficial de la postura de DAWNBLOOM(DAWNBLOOM).</w:t>
      </w:r>
    </w:p>
    <w:p>
      <w:pPr>
        <w:pStyle w:val="Heading1"/>
        <w:keepLines w:val="0"/>
      </w:pPr>
      <w:r>
        <w:rPr>
          <w:rFonts w:ascii="Noto Sans" w:hAnsi="Noto Sans" w:eastAsia="Arial Unicode MS" w:cs="Noto Sans"/>
          <w:b w:val="0"/>
        </w:rPr>
        <w:t>Diez. Tarjeta de identificación rápida antifraude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Si la persona dice lo siguiente:</w:t>
            </w:r>
          </w:p>
        </w:tc>
        <w:tc>
          <w:tcPr>
            <w:tcW w:type="dxa" w:w="4873"/>
            <w:vAlign w:val="center"/>
            <w:shd w:fill="DCE8F7"/>
          </w:tcPr>
          <w:p>
            <w:pPr>
              <w:keepNext/>
              <w:spacing w:after="40"/>
            </w:pPr>
            <w:r>
              <w:rPr>
                <w:rFonts w:ascii="Noto Sans" w:hAnsi="Noto Sans" w:eastAsia="Arial Unicode MS" w:cs="Noto Sans"/>
                <w:b/>
                <w:sz w:val="17"/>
              </w:rPr>
              <w:t>Su primera reacción debería ser:</w:t>
            </w:r>
          </w:p>
        </w:tc>
      </w:tr>
      <w:tr>
        <w:trPr>
          <w:cantSplit/>
        </w:trPr>
        <w:tc>
          <w:tcPr>
            <w:tcW w:type="dxa" w:w="4873"/>
            <w:vAlign w:val="center"/>
          </w:tcPr>
          <w:p>
            <w:pPr>
              <w:spacing w:after="40"/>
            </w:pPr>
            <w:r>
              <w:rPr>
                <w:rFonts w:ascii="Noto Sans" w:hAnsi="Noto Sans" w:eastAsia="Arial Unicode MS" w:cs="Noto Sans"/>
                <w:sz w:val="17"/>
              </w:rPr>
              <w:t>"Anomalía de cuenta: envíame el código de verificación."</w:t>
            </w:r>
          </w:p>
        </w:tc>
        <w:tc>
          <w:tcPr>
            <w:tcW w:type="dxa" w:w="4873"/>
            <w:vAlign w:val="center"/>
          </w:tcPr>
          <w:p>
            <w:pPr>
              <w:spacing w:after="40"/>
            </w:pPr>
            <w:r>
              <w:rPr>
                <w:rFonts w:ascii="Noto Sans" w:hAnsi="Noto Sans" w:eastAsia="Arial Unicode MS" w:cs="Noto Sans"/>
                <w:sz w:val="17"/>
              </w:rPr>
              <w:t>No enviar. Los canales oficiales nunca solicitarán un código de verificación de un solo uso.</w:t>
            </w:r>
          </w:p>
        </w:tc>
      </w:tr>
      <w:tr>
        <w:trPr>
          <w:cantSplit/>
        </w:trPr>
        <w:tc>
          <w:tcPr>
            <w:tcW w:type="dxa" w:w="4873"/>
            <w:vAlign w:val="center"/>
          </w:tcPr>
          <w:p>
            <w:pPr>
              <w:spacing w:after="40"/>
            </w:pPr>
            <w:r>
              <w:rPr>
                <w:rFonts w:ascii="Noto Sans" w:hAnsi="Noto Sans" w:eastAsia="Arial Unicode MS" w:cs="Noto Sans"/>
                <w:sz w:val="17"/>
              </w:rPr>
              <w:t>"Primero transfiera fondos; después del reembolso, devolveremos el dinero juntos."</w:t>
            </w:r>
          </w:p>
        </w:tc>
        <w:tc>
          <w:tcPr>
            <w:tcW w:type="dxa" w:w="4873"/>
            <w:vAlign w:val="center"/>
          </w:tcPr>
          <w:p>
            <w:pPr>
              <w:spacing w:after="40"/>
            </w:pPr>
            <w:r>
              <w:rPr>
                <w:rFonts w:ascii="Noto Sans" w:hAnsi="Noto Sans" w:eastAsia="Arial Unicode MS" w:cs="Noto Sans"/>
                <w:sz w:val="17"/>
              </w:rPr>
              <w:t>No pagar. Los reembolsos oficiales nunca requerirán que transfiera dinero primero a una cuenta personal.</w:t>
            </w:r>
          </w:p>
        </w:tc>
      </w:tr>
      <w:tr>
        <w:trPr>
          <w:cantSplit/>
        </w:trPr>
        <w:tc>
          <w:tcPr>
            <w:tcW w:type="dxa" w:w="4873"/>
            <w:vAlign w:val="center"/>
          </w:tcPr>
          <w:p>
            <w:pPr>
              <w:spacing w:after="40"/>
            </w:pPr>
            <w:r>
              <w:rPr>
                <w:rFonts w:ascii="Noto Sans" w:hAnsi="Noto Sans" w:eastAsia="Arial Unicode MS" w:cs="Noto Sans"/>
                <w:sz w:val="17"/>
              </w:rPr>
              <w:t>"Transfiere tus bestias fantasma o equipo a una cuenta segura para inspección."</w:t>
            </w:r>
          </w:p>
        </w:tc>
        <w:tc>
          <w:tcPr>
            <w:tcW w:type="dxa" w:w="4873"/>
            <w:vAlign w:val="center"/>
          </w:tcPr>
          <w:p>
            <w:pPr>
              <w:spacing w:after="40"/>
            </w:pPr>
            <w:r>
              <w:rPr>
                <w:rFonts w:ascii="Noto Sans" w:hAnsi="Noto Sans" w:eastAsia="Arial Unicode MS" w:cs="Noto Sans"/>
                <w:sz w:val="17"/>
              </w:rPr>
              <w:t>No transferir. Los canales oficiales nunca solicitarán la verificación de activos a través de cuentas de personajes de jugadores.</w:t>
            </w:r>
          </w:p>
        </w:tc>
      </w:tr>
      <w:tr>
        <w:trPr>
          <w:cantSplit/>
        </w:trPr>
        <w:tc>
          <w:tcPr>
            <w:tcW w:type="dxa" w:w="4873"/>
            <w:vAlign w:val="center"/>
          </w:tcPr>
          <w:p>
            <w:pPr>
              <w:spacing w:after="40"/>
            </w:pPr>
            <w:r>
              <w:rPr>
                <w:rFonts w:ascii="Noto Sans" w:hAnsi="Noto Sans" w:eastAsia="Arial Unicode MS" w:cs="Noto Sans"/>
                <w:sz w:val="17"/>
              </w:rPr>
              <w:t>"Haz clic en este enlace para iniciar sesión y reclamar tu recompensa."</w:t>
            </w:r>
          </w:p>
        </w:tc>
        <w:tc>
          <w:tcPr>
            <w:tcW w:type="dxa" w:w="4873"/>
            <w:vAlign w:val="center"/>
          </w:tcPr>
          <w:p>
            <w:pPr>
              <w:spacing w:after="40"/>
            </w:pPr>
            <w:r>
              <w:rPr>
                <w:rFonts w:ascii="Noto Sans" w:hAnsi="Noto Sans" w:eastAsia="Arial Unicode MS" w:cs="Noto Sans"/>
                <w:sz w:val="17"/>
              </w:rPr>
              <w:t>Verifica primero que el enlace pertenezca a dawnbloom.net o esté explícitamente listado como un punto de entrada oficial en el sitio web oficial.</w:t>
            </w:r>
          </w:p>
        </w:tc>
      </w:tr>
      <w:tr>
        <w:trPr>
          <w:cantSplit/>
        </w:trPr>
        <w:tc>
          <w:tcPr>
            <w:tcW w:type="dxa" w:w="4873"/>
            <w:vAlign w:val="center"/>
          </w:tcPr>
          <w:p>
            <w:pPr>
              <w:spacing w:after="40"/>
            </w:pPr>
            <w:r>
              <w:rPr>
                <w:rFonts w:ascii="Noto Sans" w:hAnsi="Noto Sans" w:eastAsia="Arial Unicode MS" w:cs="Noto Sans"/>
                <w:sz w:val="17"/>
              </w:rPr>
              <w:t>"Soy un GM; añade mi contacto privado para gestionar."</w:t>
            </w:r>
          </w:p>
        </w:tc>
        <w:tc>
          <w:tcPr>
            <w:tcW w:type="dxa" w:w="4873"/>
            <w:vAlign w:val="center"/>
          </w:tcPr>
          <w:p>
            <w:pPr>
              <w:spacing w:after="40"/>
            </w:pPr>
            <w:r>
              <w:rPr>
                <w:rFonts w:ascii="Noto Sans" w:hAnsi="Noto Sans" w:eastAsia="Arial Unicode MS" w:cs="Noto Sans"/>
                <w:sz w:val="17"/>
              </w:rPr>
              <w:t>Accede siempre primero al portal de atención al cliente del sitio web oficial y verifica la identidad de la persona que afirma ser un GM.</w:t>
            </w:r>
          </w:p>
        </w:tc>
      </w:tr>
      <w:tr>
        <w:trPr>
          <w:cantSplit/>
        </w:trPr>
        <w:tc>
          <w:tcPr>
            <w:tcW w:type="dxa" w:w="4873"/>
            <w:vAlign w:val="center"/>
          </w:tcPr>
          <w:p>
            <w:pPr>
              <w:spacing w:after="40"/>
            </w:pPr>
            <w:r>
              <w:rPr>
                <w:rFonts w:ascii="Noto Sans" w:hAnsi="Noto Sans" w:eastAsia="Arial Unicode MS" w:cs="Noto Sans"/>
                <w:sz w:val="17"/>
              </w:rPr>
              <w:t>"Te penalizaremos permanentemente si no actuamos de inmediato."</w:t>
            </w:r>
          </w:p>
        </w:tc>
        <w:tc>
          <w:tcPr>
            <w:tcW w:type="dxa" w:w="4873"/>
            <w:vAlign w:val="center"/>
          </w:tcPr>
          <w:p>
            <w:pPr>
              <w:spacing w:after="40"/>
            </w:pPr>
            <w:r>
              <w:rPr>
                <w:rFonts w:ascii="Noto Sans" w:hAnsi="Noto Sans" w:eastAsia="Arial Unicode MS" w:cs="Noto Sans"/>
                <w:sz w:val="17"/>
              </w:rPr>
              <w:t>No se deje presionar. Cese inmediatamente cualquier acción y verifique la información a través del sitio web oficial.</w:t>
            </w:r>
          </w:p>
        </w:tc>
      </w:tr>
    </w:tbl>
    <w:p>
      <w:pPr>
        <w:spacing w:after="40"/>
      </w:pPr>
    </w:p>
    <w:p>
      <w:pPr>
        <w:pStyle w:val="Heading1"/>
        <w:keepLines w:val="0"/>
      </w:pPr>
      <w:r>
        <w:rPr>
          <w:rFonts w:ascii="Noto Sans" w:hAnsi="Noto Sans" w:eastAsia="Arial Unicode MS" w:cs="Noto Sans"/>
          <w:b w:val="0"/>
        </w:rPr>
        <w:t>Por favor recuerda</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Los canales oficiales genuinos no temen que "verifiques primero en el sitio web oficial". Cualquiera que le inste a omitir el sitio web oficial, omitir la plataforma u omitir los procesos de pago normales debe ser tratado con precaución.</w:t>
              <w:br/>
              <w:br/>
              <w:t>Si no está seguro de si un mensaje es auténtico, cese todas las acciones y verifique a través de support@dawnbloom.net o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Canales Oficiales y Antiestafa de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