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Información Legal y Avisos de DAWNBLOOM</w:t>
      </w:r>
    </w:p>
    <w:p>
      <w:pPr>
        <w:keepLines w:val="0"/>
      </w:pPr>
      <w:r>
        <w:rPr>
          <w:rFonts w:ascii="Noto Sans" w:hAnsi="Noto Sans" w:eastAsia="Arial Unicode MS" w:cs="Noto Sans"/>
          <w:b w:val="0"/>
        </w:rPr>
        <w:t>Versión oficial</w:t>
      </w:r>
    </w:p>
    <w:p>
      <w:pPr>
        <w:keepLines w:val="0"/>
      </w:pPr>
      <w:r>
        <w:rPr>
          <w:rFonts w:ascii="Noto Sans" w:hAnsi="Noto Sans" w:eastAsia="Arial Unicode MS" w:cs="Noto Sans"/>
          <w:b w:val="0"/>
        </w:rPr>
        <w:t>Versión: V8</w:t>
      </w:r>
    </w:p>
    <w:p>
      <w:pPr>
        <w:keepLines w:val="0"/>
      </w:pPr>
      <w:r>
        <w:rPr>
          <w:rFonts w:ascii="Noto Sans" w:hAnsi="Noto Sans" w:eastAsia="Arial Unicode MS" w:cs="Noto Sans"/>
          <w:b w:val="0"/>
        </w:rPr>
        <w:t>Fecha de entrada en vigor: 10 de octubre de 2026</w:t>
      </w:r>
    </w:p>
    <w:p>
      <w:pPr>
        <w:keepLines w:val="0"/>
      </w:pPr>
      <w:r>
        <w:rPr>
          <w:rFonts w:ascii="Noto Sans" w:hAnsi="Noto Sans" w:eastAsia="Arial Unicode MS" w:cs="Noto Sans"/>
          <w:b w:val="0"/>
        </w:rPr>
        <w:t>Fecha de actualización: 10 de octubre de 2026</w:t>
      </w:r>
    </w:p>
    <w:p>
      <w:pPr>
        <w:keepLines w:val="0"/>
      </w:pPr>
      <w:r>
        <w:rPr>
          <w:rFonts w:ascii="Noto Sans" w:hAnsi="Noto Sans" w:eastAsia="Arial Unicode MS" w:cs="Noto Sans"/>
          <w:b w:val="0"/>
        </w:rPr>
        <w:t xml:space="preserve">Sitios web aplicables: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y los subdominios oficiales</w:t>
      </w:r>
    </w:p>
    <w:p>
      <w:pPr>
        <w:keepLines w:val="0"/>
      </w:pPr>
      <w:r>
        <w:rPr>
          <w:rFonts w:ascii="Noto Sans" w:hAnsi="Noto Sans" w:eastAsia="Arial Unicode MS" w:cs="Noto Sans"/>
          <w:b w:val="0"/>
        </w:rPr>
        <w:t>Marca aplicable: los siete productos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Ubicación del archivo</w:t>
              <w:br/>
              <w:t>Este documento sirve como la puerta de enlace legal oficial en el sitio web: proporcionando acceso público a la entidad operativa y los canales oficiales, declaraciones de derechos de autor y marcas comerciales, identificadores de terceros, procedimientos de notificación de infracciones, licencias abiertas para republicación, declaraciones de software de código abierto, explicaciones del servicio de jugador IA y otros avisos legales. Políticas de privacidad, comportamiento del jugador, uso del sitio web, seguridad de cuentas y asuntos de ventas y reembolsos están regidos por documentos dedicados separados.</w:t>
            </w:r>
          </w:p>
        </w:tc>
      </w:tr>
    </w:tbl>
    <w:p>
      <w:pPr>
        <w:spacing w:after="40"/>
      </w:pPr>
    </w:p>
    <w:p>
      <w:pPr>
        <w:pStyle w:val="Heading1"/>
        <w:keepLines w:val="0"/>
      </w:pPr>
      <w:r>
        <w:rPr>
          <w:rFonts w:ascii="Noto Sans" w:hAnsi="Noto Sans" w:eastAsia="Arial Unicode MS" w:cs="Noto Sans"/>
          <w:b w:val="0"/>
        </w:rPr>
        <w:t>1. Identidad Oficial, Entidad Operativa y Acceso a Documentos Legales</w:t>
      </w:r>
    </w:p>
    <w:p>
      <w:pPr>
        <w:keepLines w:val="0"/>
      </w:pPr>
      <w:r>
        <w:rPr>
          <w:rFonts w:ascii="Noto Sans" w:hAnsi="Noto Sans" w:eastAsia="Arial Unicode MS" w:cs="Noto Sans"/>
          <w:b w:val="0"/>
        </w:rPr>
        <w:t>DAWNBLOOM es operado por 上海追光智创文化传媒有限公司. La tabla identifica su único sitio web global y puntos de entrada regionales de idiomas. Las entradas regionales solo conducen al sitio principal y no crean un operador separado, cuenta, servicio de pago o descarga, ni base de datos. El operador ha suministrado la identidad de registro de la empresa para la entrada de China. La entrada de Japón fue registrada con asistencia; su titular registrado y autorización formal aún deben verificarse. Este documento no afirma la propiedad de la empresa del dominio de Japón. Los sufijos de dominio no establecen alojamiento en China continental ni registro ICP, ni una corporación o sucursal japonesa. Otros sitios, grupos, tiendas y cuentas sociales son oficiales solo cuando están expresamente listados por el sitio principal.</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Proyecto</w:t>
            </w:r>
          </w:p>
        </w:tc>
        <w:tc>
          <w:tcPr>
            <w:tcW w:type="dxa" w:w="4873"/>
            <w:vAlign w:val="center"/>
            <w:shd w:fill="DCE8F7"/>
          </w:tcPr>
          <w:p>
            <w:pPr>
              <w:keepNext/>
              <w:spacing w:after="40"/>
            </w:pPr>
            <w:r>
              <w:rPr>
                <w:rFonts w:ascii="Noto Sans" w:hAnsi="Noto Sans" w:eastAsia="Arial Unicode MS" w:cs="Noto Sans"/>
                <w:b/>
                <w:sz w:val="17"/>
              </w:rPr>
              <w:t>Información oficial</w:t>
            </w:r>
          </w:p>
        </w:tc>
      </w:tr>
      <w:tr>
        <w:trPr>
          <w:cantSplit/>
        </w:trPr>
        <w:tc>
          <w:tcPr>
            <w:tcW w:type="dxa" w:w="4873"/>
            <w:vAlign w:val="center"/>
          </w:tcPr>
          <w:p>
            <w:pPr>
              <w:spacing w:after="40"/>
            </w:pPr>
            <w:r>
              <w:rPr>
                <w:rFonts w:ascii="Noto Sans" w:hAnsi="Noto Sans" w:eastAsia="Arial Unicode MS" w:cs="Noto Sans"/>
                <w:sz w:val="17"/>
              </w:rPr>
              <w:t>Operador / proveedor de servicios del sitio web</w:t>
            </w:r>
          </w:p>
        </w:tc>
        <w:tc>
          <w:tcPr>
            <w:tcW w:type="dxa" w:w="4873"/>
            <w:vAlign w:val="center"/>
          </w:tcPr>
          <w:p>
            <w:pPr>
              <w:spacing w:after="40"/>
            </w:pPr>
            <w:r>
              <w:rPr>
                <w:rFonts w:ascii="Noto Sans" w:hAnsi="Noto Sans" w:eastAsia="Arial Unicode MS" w:cs="Noto Sans"/>
                <w:sz w:val="17"/>
              </w:rPr>
              <w:t>上海追光智创文化传媒有限公司 (Nombre público en inglés: SHANGHAI LUMIREALM CREATIVE MEDIA CO., LTD.)</w:t>
            </w:r>
          </w:p>
        </w:tc>
      </w:tr>
      <w:tr>
        <w:trPr>
          <w:cantSplit/>
        </w:trPr>
        <w:tc>
          <w:tcPr>
            <w:tcW w:type="dxa" w:w="4873"/>
            <w:vAlign w:val="center"/>
          </w:tcPr>
          <w:p>
            <w:pPr>
              <w:spacing w:after="40"/>
            </w:pPr>
            <w:r>
              <w:rPr>
                <w:rFonts w:ascii="Noto Sans" w:hAnsi="Noto Sans" w:eastAsia="Arial Unicode MS" w:cs="Noto Sans"/>
                <w:sz w:val="17"/>
              </w:rPr>
              <w:t>Único sitio web global</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Entrada de idioma chino</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Entrada de idioma japonés</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(disponible; HTTPS 301)</w:t>
            </w:r>
          </w:p>
        </w:tc>
      </w:tr>
      <w:tr>
        <w:trPr>
          <w:cantSplit/>
        </w:trPr>
        <w:tc>
          <w:tcPr>
            <w:tcW w:type="dxa" w:w="4873"/>
            <w:vAlign w:val="center"/>
          </w:tcPr>
          <w:p>
            <w:pPr>
              <w:spacing w:after="40"/>
            </w:pPr>
            <w:r>
              <w:rPr>
                <w:rFonts w:ascii="Noto Sans" w:hAnsi="Noto Sans" w:eastAsia="Arial Unicode MS" w:cs="Noto Sans"/>
                <w:sz w:val="17"/>
              </w:rPr>
              <w:t>Entrada oficial de idioma coreano</w:t>
            </w:r>
          </w:p>
        </w:tc>
        <w:tc>
          <w:tcPr>
            <w:tcW w:type="dxa" w:w="4873"/>
            <w:vAlign w:val="center"/>
          </w:tcPr>
          <w:p>
            <w:pPr>
              <w:spacing w:after="40"/>
            </w:pPr>
            <w:r>
              <w:rPr>
                <w:rFonts w:ascii="Noto Sans" w:hAnsi="Noto Sans" w:eastAsia="Arial Unicode MS" w:cs="Noto Sans"/>
                <w:sz w:val="17"/>
              </w:rPr>
              <w:t xml:space="preserve">Las entradas oficiales en coreano dawnbloom.kr y www.dawnbloom.kr utilizan redirecciones HTTPS 301 a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Los cambios de DNS pueden tardar en propagarse. Utilizan el sitio web unificado y no crean un sitio web separado, cuenta, base de datos o servidor de juego coreano.</w:t>
            </w:r>
          </w:p>
        </w:tc>
      </w:tr>
      <w:tr>
        <w:trPr>
          <w:cantSplit/>
        </w:trPr>
        <w:tc>
          <w:tcPr>
            <w:tcW w:type="dxa" w:w="4873"/>
            <w:vAlign w:val="center"/>
          </w:tcPr>
          <w:p>
            <w:pPr>
              <w:spacing w:after="40"/>
            </w:pPr>
            <w:r>
              <w:rPr>
                <w:rFonts w:ascii="Noto Sans" w:hAnsi="Noto Sans" w:eastAsia="Arial Unicode MS" w:cs="Noto Sans"/>
                <w:sz w:val="17"/>
              </w:rPr>
              <w:t>Servicio de atención al cliente general</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Contacto legal/derechos de autor</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Reporte de vulnerabilidades de seguridad</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Dirección operativa / dirección de contacto legal</w:t>
            </w:r>
          </w:p>
        </w:tc>
        <w:tc>
          <w:tcPr>
            <w:tcW w:type="dxa" w:w="4873"/>
            <w:vAlign w:val="center"/>
          </w:tcPr>
          <w:p>
            <w:pPr>
              <w:spacing w:after="40"/>
            </w:pPr>
            <w:r>
              <w:rPr>
                <w:rFonts w:ascii="Noto Sans" w:hAnsi="Noto Sans" w:eastAsia="Arial Unicode MS" w:cs="Noto Sans"/>
                <w:sz w:val="17"/>
              </w:rPr>
              <w:t>Sala 218, Edificio 3, N.º 336 Tianjiao Road, Área Especial de Lin-gang, Zona Piloto de Libre Comercio de China (Shanghái), China</w:t>
            </w:r>
          </w:p>
        </w:tc>
      </w:tr>
    </w:tbl>
    <w:p>
      <w:pPr>
        <w:spacing w:after="40"/>
      </w:pPr>
    </w:p>
    <w:p>
      <w:pPr>
        <w:keepLines w:val="0"/>
      </w:pPr>
      <w:r>
        <w:rPr>
          <w:rFonts w:ascii="Noto Sans" w:hAnsi="Noto Sans" w:eastAsia="Arial Unicode MS" w:cs="Noto Sans"/>
          <w:b w:val="0"/>
        </w:rPr>
        <w:t>El índice jurídico del sitio web oficial reúne la Política de privacidad unificada de DAWNBLOOM V8, que abarca el juego, las seis aplicaciones, el sitio web oficial, las cuentas, la comunidad y la atención al cliente, las Condiciones de uso de los productos y servicios de DAWNBLOOM, las Condiciones de servicio de DAWNBLOOM Browser, las Normas para jugadores y reglas de sanción por infracciones, las Condiciones de venta y reembolso, la Política de Cookie y tecnologías similares, la Guía de obras derivadas y contenidos de fans, el Aviso sobre canales oficiales y prevención del fraude y este documento. El ámbito concreto, las versiones y las explicaciones específicas de cada producto se determinan por las páginas oficiales correspondientes; las condiciones específicas del navegador no aplican las reglas del juego a la navegación ordinaria.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Recordatorio contra estafas: DAWNBLOOM oficial, el Espíritu del Amanecer y su personal nunca solicitarán su contraseña de cuenta, contraseña de pago, detalles completos de tarjeta bancaria o un código de verificación único completo mediante mensajes privados. Si encuentra a alguien que afirma ser un "GM", "servicio al cliente" o "representante oficial" que le pide transferir dinero privadamente, instalar software no verificado, compartir pantalla o proporcionar contraseñas o códigos de verificación completos, detenga todas las acciones inmediatamente y verifique la solicitud a través del sitio web oficial o los canales oficiales de atención al cliente.</w:t>
            </w:r>
          </w:p>
        </w:tc>
      </w:tr>
    </w:tbl>
    <w:p>
      <w:pPr>
        <w:spacing w:after="40"/>
      </w:pPr>
    </w:p>
    <w:p>
      <w:pPr>
        <w:pStyle w:val="Heading1"/>
        <w:keepLines w:val="0"/>
      </w:pPr>
      <w:r>
        <w:rPr>
          <w:rFonts w:ascii="Noto Sans" w:hAnsi="Noto Sans" w:eastAsia="Arial Unicode MS" w:cs="Noto Sans"/>
          <w:b w:val="0"/>
        </w:rPr>
        <w:t>2. Propiedad Intelectual e Identidad de Marca de DAWNBLOOM</w:t>
      </w:r>
    </w:p>
    <w:p>
      <w:pPr>
        <w:keepLines w:val="0"/>
      </w:pPr>
      <w:r>
        <w:rPr>
          <w:rFonts w:ascii="Noto Sans" w:hAnsi="Noto Sans" w:eastAsia="Arial Unicode MS" w:cs="Noto Sans"/>
          <w:b w:val="0"/>
        </w:rPr>
        <w:t>Salvo que se marque explícitamente lo contrario o sea propiedad de terceros, el contenido de DAWNBLOOM y su sitio web oficial, aplicación cliente y canales promocionales —incluyendo nombres de juegos, logotipos, personajes, bestias fantasma, mapas, cosmogonías, tramas, redacción, obras de arte, interfaces, iconos, animaciones, música, efectos de sonido, videos, diseño visual del sitio web, código de software, estructura de base de datos y otros elementos originales y creativos— está protegido por derechos de autor, leyes de marcas registradas, la Ley de Competencia Desleal y otras leyes aplicables.</w:t>
      </w:r>
    </w:p>
    <w:p>
      <w:pPr>
        <w:keepLines w:val="0"/>
      </w:pPr>
      <w:r>
        <w:rPr>
          <w:rFonts w:ascii="Noto Sans" w:hAnsi="Noto Sans" w:eastAsia="Arial Unicode MS" w:cs="Noto Sans"/>
          <w:b w:val="0"/>
        </w:rPr>
        <w:t>El material de propiedad de DAWNBLOOM también incluye los nombres, iconos, interfaces, diseños de clientes, páginas de productos, capturas de pantalla publicadas y código de las seis aplicaciones. Los informes de noticias, sitios web visitados en el Navegador, correos de usuario y contenido del proveedor de correo no se convierten en propiedad de DAWNBLOOM simplemente porque una aplicación los muestre.</w:t>
      </w:r>
    </w:p>
    <w:p>
      <w:pPr>
        <w:keepLines w:val="0"/>
      </w:pPr>
      <w:r>
        <w:rPr>
          <w:rFonts w:ascii="Noto Sans" w:hAnsi="Noto Sans" w:eastAsia="Arial Unicode MS" w:cs="Noto Sans"/>
          <w:b w:val="0"/>
        </w:rPr>
        <w:t>"DAWNBLOOM" y sus marcas gráficas relacionadas sirven como identificadores de marca oficiales del proyecto. Las solicitudes de marca registrada, registros y ámbito de protección están sujetos a la aprobación final y a los bienes y servicios designados determinados por las autoridades nacionales de administración de la propiedad intelectual. El símbolo de marca registrada (®) y designaciones similares solo deberán utilizarse cuando la marca haya sido legalmente aprobada y registrada, y se esté utilizando dentro del ámbito oficialmente designado; cualquier marca actualmente en proceso de solicitud, examen o pendiente de aprobación final no deberá promoverse de manera que pueda inducir a error al público creyendo que ha obtenido derechos exclusivos de marca.</w:t>
      </w:r>
    </w:p>
    <w:p>
      <w:pPr>
        <w:keepLines w:val="0"/>
      </w:pPr>
      <w:r>
        <w:rPr>
          <w:rFonts w:ascii="Noto Sans" w:hAnsi="Noto Sans" w:eastAsia="Arial Unicode MS" w:cs="Noto Sans"/>
          <w:b w:val="0"/>
        </w:rPr>
        <w:t>Las declaraciones de derechos en este documento no amplían los derechos exclusivos otorgados por la ley, ni restringen usos legales y razonables como la cita, el comentario, la información periodística u otros usos que no requieran un permiso separado.</w:t>
      </w:r>
    </w:p>
    <w:p>
      <w:pPr>
        <w:pStyle w:val="Heading1"/>
        <w:keepLines w:val="0"/>
      </w:pPr>
      <w:r>
        <w:rPr>
          <w:rFonts w:ascii="Noto Sans" w:hAnsi="Noto Sans" w:eastAsia="Arial Unicode MS" w:cs="Noto Sans"/>
          <w:b w:val="0"/>
        </w:rPr>
        <w:t>3. Licencia de Redistribución Gratuita para Contenido Público Oficial</w:t>
      </w:r>
    </w:p>
    <w:p>
      <w:pPr>
        <w:keepLines w:val="0"/>
      </w:pPr>
      <w:r>
        <w:rPr>
          <w:rFonts w:ascii="Noto Sans" w:hAnsi="Noto Sans" w:eastAsia="Arial Unicode MS" w:cs="Noto Sans"/>
          <w:b w:val="0"/>
        </w:rPr>
        <w:t>DAWNBLOOM da la bienvenida a jugadores, medios de comunicación, streamers, comunidades y creadores de contenido para difundir públicamente la información del juego disponible. Para el contenido que haya sido publicado oficialmente a través del sitio web oficial, las plataformas comunitarias oficiales o las cuentas oficiales de redes sociales, y que no haya especificado restricciones de uso de otra manera, el operador otorga por la presente una licencia global, no exclusiva y libre de regalías para su republicación y compartición, sin necesidad de aprobación previa:</w:t>
      </w:r>
    </w:p>
    <w:p>
      <w:pPr>
        <w:pStyle w:val="ListBullet"/>
        <w:keepLines w:val="0"/>
      </w:pPr>
      <w:r>
        <w:rPr>
          <w:rFonts w:ascii="Noto Sans" w:hAnsi="Noto Sans" w:eastAsia="Arial Unicode MS" w:cs="Noto Sans"/>
          <w:b w:val="0"/>
        </w:rPr>
        <w:t>Noticias oficiales, anuncios, notas de actualización de versiones e información de eventos públicos;</w:t>
      </w:r>
    </w:p>
    <w:p>
      <w:pPr>
        <w:pStyle w:val="ListBullet"/>
        <w:keepLines w:val="0"/>
      </w:pPr>
      <w:r>
        <w:rPr>
          <w:rFonts w:ascii="Noto Sans" w:hAnsi="Noto Sans" w:eastAsia="Arial Unicode MS" w:cs="Noto Sans"/>
          <w:b w:val="0"/>
        </w:rPr>
        <w:t>Guías públicas oficiales, preguntas frecuentes y explicaciones de reglas visibles para los jugadores;</w:t>
      </w:r>
    </w:p>
    <w:p>
      <w:pPr>
        <w:pStyle w:val="ListBullet"/>
        <w:keepLines w:val="0"/>
      </w:pPr>
      <w:r>
        <w:rPr>
          <w:rFonts w:ascii="Noto Sans" w:hAnsi="Noto Sans" w:eastAsia="Arial Unicode MS" w:cs="Noto Sans"/>
          <w:b w:val="0"/>
        </w:rPr>
        <w:t>Capturas de pantalla promocionales oficiales, carteles, banners y materiales de redes sociales utilizados para la difusión pública;</w:t>
      </w:r>
    </w:p>
    <w:p>
      <w:pPr>
        <w:pStyle w:val="ListBullet"/>
        <w:keepLines w:val="0"/>
      </w:pPr>
      <w:r>
        <w:rPr>
          <w:rFonts w:ascii="Noto Sans" w:hAnsi="Noto Sans" w:eastAsia="Arial Unicode MS" w:cs="Noto Sans"/>
          <w:b w:val="0"/>
        </w:rPr>
        <w:t>Otros materiales explícitamente marcados por el operador como distribuibles públicamente.</w:t>
      </w:r>
    </w:p>
    <w:p>
      <w:pPr>
        <w:keepLines w:val="0"/>
      </w:pPr>
      <w:r>
        <w:rPr>
          <w:rFonts w:ascii="Noto Sans" w:hAnsi="Noto Sans" w:eastAsia="Arial Unicode MS" w:cs="Noto Sans"/>
          <w:b w:val="0"/>
        </w:rPr>
        <w:t>Para la adaptación a artículos, videos, transmisiones en vivo, redes sociales o diferentes formatos, se pueden realizar escalado, recorte, compresión, subtitulado o conversión de formato necesarios; sin embargo, no se debe distorsionar la intención original del contenido oficial, no se deben forjar declaraciones oficiales, no se debe causar confusión sobre la fuente ni suplantar la identidad oficial. También está prohibido inducir a error al público para creer que cualquier contenido, producto o servicio relacionado ha obtenido autorización, certificación o respaldo oficial de DAWNBLOOM.</w:t>
      </w:r>
    </w:p>
    <w:p>
      <w:pPr>
        <w:pStyle w:val="Heading1"/>
        <w:keepLines w:val="0"/>
      </w:pPr>
      <w:r>
        <w:rPr>
          <w:rFonts w:ascii="Noto Sans" w:hAnsi="Noto Sans" w:eastAsia="Arial Unicode MS" w:cs="Noto Sans"/>
          <w:b w:val="0"/>
        </w:rPr>
        <w:t>3.1 Esta licencia de redistribución gratuita NO se extiende a lo siguiente:</w:t>
      </w:r>
    </w:p>
    <w:p>
      <w:pPr>
        <w:pStyle w:val="ListBullet"/>
        <w:keepLines w:val="0"/>
      </w:pPr>
      <w:r>
        <w:rPr>
          <w:rFonts w:ascii="Noto Sans" w:hAnsi="Noto Sans" w:eastAsia="Arial Unicode MS" w:cs="Noto Sans"/>
          <w:b w:val="0"/>
        </w:rPr>
        <w:t>Suplantar la identidad de DAWNBLOOM, fabricar un sitio web oficial, atención al cliente oficial, evento oficial, anuncio oficial o relación de autorización oficial;</w:t>
      </w:r>
    </w:p>
    <w:p>
      <w:pPr>
        <w:pStyle w:val="ListBullet"/>
        <w:keepLines w:val="0"/>
      </w:pPr>
      <w:r>
        <w:rPr>
          <w:rFonts w:ascii="Noto Sans" w:hAnsi="Noto Sans" w:eastAsia="Arial Unicode MS" w:cs="Noto Sans"/>
          <w:b w:val="0"/>
        </w:rPr>
        <w:t>Está estrictamente prohibido utilizar el nombre, logotipo, personajes, obras de arte u otros materiales de DAWNBLOOM para crear, promover u operar servidores privados no autorizados, software cliente pirata, juegos falsificados, páginas fraudulentas o servicios comerciales que puedan inducir a error a los usuarios haciéndoles creer que están afiliados al juego oficial;</w:t>
      </w:r>
    </w:p>
    <w:p>
      <w:pPr>
        <w:pStyle w:val="ListBullet"/>
        <w:keepLines w:val="0"/>
      </w:pPr>
      <w:r>
        <w:rPr>
          <w:rFonts w:ascii="Noto Sans" w:hAnsi="Noto Sans" w:eastAsia="Arial Unicode MS" w:cs="Noto Sans"/>
          <w:b w:val="0"/>
        </w:rPr>
        <w:t>Extraer, reprocesar, vender o distribuir archivos de arte originales, código fuente, archivos de origen de música/efectos de sonido, archivos de fuentes, materiales no publicados, documentos de planificación interna, datos backend, tablas de probabilidad no publicadas, fórmulas internas, multiplicadores u otros activos no públicos;</w:t>
      </w:r>
    </w:p>
    <w:p>
      <w:pPr>
        <w:pStyle w:val="ListBullet"/>
        <w:keepLines w:val="0"/>
      </w:pPr>
      <w:r>
        <w:rPr>
          <w:rFonts w:ascii="Noto Sans" w:hAnsi="Noto Sans" w:eastAsia="Arial Unicode MS" w:cs="Noto Sans"/>
          <w:b w:val="0"/>
        </w:rPr>
        <w:t>Modificar paquetes de instalación oficiales, parches o archivos ejecutables y redistribuirlos bajo el nombre de una versión oficial;</w:t>
      </w:r>
    </w:p>
    <w:p>
      <w:pPr>
        <w:pStyle w:val="ListBullet"/>
        <w:keepLines w:val="0"/>
      </w:pPr>
      <w:r>
        <w:rPr>
          <w:rFonts w:ascii="Noto Sans" w:hAnsi="Noto Sans" w:eastAsia="Arial Unicode MS" w:cs="Noto Sans"/>
          <w:b w:val="0"/>
        </w:rPr>
        <w:t>El uso de materiales oficiales para fraude, desvío malicioso de tráfico, transacciones ilegales, infracción de bienes o cualquier otro uso que dañe claramente la seguridad de los jugadores o los intereses legítimos del proyecto.</w:t>
      </w:r>
    </w:p>
    <w:p>
      <w:pPr>
        <w:keepLines w:val="0"/>
      </w:pPr>
      <w:r>
        <w:rPr>
          <w:rFonts w:ascii="Noto Sans" w:hAnsi="Noto Sans" w:eastAsia="Arial Unicode MS" w:cs="Noto Sans"/>
          <w:b w:val="0"/>
        </w:rPr>
        <w:t>Las transmisiones en vivo normales, transmisiones grabadas, videos de guía, comentarios, discusiones de fan fiction y el intercambio comunitario por parte de los jugadores no están sujetos a restricciones adicionales bajo esta licencia; cuando involucre música de terceros, fuentes, logotipos de plataformas u otros materiales de terceros, dicho uso también deberá cumplir con las reglas de los respectivos titulares de derechos.</w:t>
      </w:r>
    </w:p>
    <w:p>
      <w:pPr>
        <w:pStyle w:val="Heading1"/>
        <w:keepLines w:val="0"/>
      </w:pPr>
      <w:r>
        <w:rPr>
          <w:rFonts w:ascii="Noto Sans" w:hAnsi="Noto Sans" w:eastAsia="Arial Unicode MS" w:cs="Noto Sans"/>
          <w:b w:val="0"/>
        </w:rPr>
        <w:t>4. Contenido Generado por Jugadores, DAWNBLOOM Community y Quejas por Derechos de Autor</w:t>
      </w:r>
    </w:p>
    <w:p>
      <w:pPr>
        <w:keepLines w:val="0"/>
      </w:pPr>
      <w:r>
        <w:rPr>
          <w:rFonts w:ascii="Noto Sans" w:hAnsi="Noto Sans" w:eastAsia="Arial Unicode MS" w:cs="Noto Sans"/>
          <w:b w:val="0"/>
        </w:rPr>
        <w:t>Si cree que el contenido generado por usuarios en la DAWNBLOOM Community oficial u otras páginas oficiales de DAWNBLOOM infringe sus derechos de autor, derechos de marca registrada, derecho a la imagen, derechos de reputación o cualquier otro derecho e interés legítimo, puede presentar una queja a través del canal de contacto legal/derechos de autor oficial. Para fines de verificación, recomendamos proporcionar:</w:t>
      </w:r>
    </w:p>
    <w:p>
      <w:pPr>
        <w:keepLines w:val="0"/>
      </w:pPr>
      <w:r>
        <w:rPr>
          <w:rFonts w:ascii="Noto Sans" w:hAnsi="Noto Sans" w:eastAsia="Arial Unicode MS" w:cs="Noto Sans"/>
          <w:b w:val="0"/>
        </w:rPr>
        <w:t>Si cree que el contenido generado por usuarios en la DAWNBLOOM Community oficial u otras páginas oficiales de DAWNBLOOM infringe sus derechos de autor, derechos de marca comercial, derecho a la imagen, derechos de reputación o cualquier otro derecho e interés legítimo, puede presentar una queja a través del canal de contacto legal/copyright oficial. Para fines de verificación, recomendamos proporcionar:</w:t>
      </w:r>
    </w:p>
    <w:p>
      <w:pPr>
        <w:pStyle w:val="ListBullet"/>
        <w:keepLines w:val="0"/>
      </w:pPr>
      <w:r>
        <w:rPr>
          <w:rFonts w:ascii="Noto Sans" w:hAnsi="Noto Sans" w:eastAsia="Arial Unicode MS" w:cs="Noto Sans"/>
          <w:b w:val="0"/>
        </w:rPr>
        <w:t>El nombre o razón social del titular de los derechos y la información de contacto, incluido correo electrónico, teléfono u otros detalles de contacto;</w:t>
      </w:r>
    </w:p>
    <w:p>
      <w:pPr>
        <w:pStyle w:val="ListBullet"/>
        <w:keepLines w:val="0"/>
      </w:pPr>
      <w:r>
        <w:rPr>
          <w:rFonts w:ascii="Noto Sans" w:hAnsi="Noto Sans" w:eastAsia="Arial Unicode MS" w:cs="Noto Sans"/>
          <w:b w:val="0"/>
        </w:rPr>
        <w:t>Evidencia que establezca preliminarmente la propiedad o autorización;</w:t>
      </w:r>
    </w:p>
    <w:p>
      <w:pPr>
        <w:pStyle w:val="ListBullet"/>
        <w:keepLines w:val="0"/>
      </w:pPr>
      <w:r>
        <w:rPr>
          <w:rFonts w:ascii="Noto Sans" w:hAnsi="Noto Sans" w:eastAsia="Arial Unicode MS" w:cs="Noto Sans"/>
          <w:b w:val="0"/>
        </w:rPr>
        <w:t>La URL del contenido denunciado, ID de publicación, captura de pantalla u otra información de identificación precisa;</w:t>
      </w:r>
    </w:p>
    <w:p>
      <w:pPr>
        <w:pStyle w:val="ListBullet"/>
        <w:keepLines w:val="0"/>
      </w:pPr>
      <w:r>
        <w:rPr>
          <w:rFonts w:ascii="Noto Sans" w:hAnsi="Noto Sans" w:eastAsia="Arial Unicode MS" w:cs="Noto Sans"/>
          <w:b w:val="0"/>
        </w:rPr>
        <w:t>Una breve declaración sobre la presunta infracción y la acción deseada;</w:t>
      </w:r>
    </w:p>
    <w:p>
      <w:pPr>
        <w:pStyle w:val="ListBullet"/>
        <w:keepLines w:val="0"/>
      </w:pPr>
      <w:r>
        <w:rPr>
          <w:rFonts w:ascii="Noto Sans" w:hAnsi="Noto Sans" w:eastAsia="Arial Unicode MS" w:cs="Noto Sans"/>
          <w:b w:val="0"/>
        </w:rPr>
        <w:t>Una declaración confirmando la precisión y autenticidad de la queja, y la disposición a asumir la responsabilidad por cualquier afirmación maliciosa o falsa.</w:t>
      </w:r>
    </w:p>
    <w:p>
      <w:pPr>
        <w:keepLines w:val="0"/>
      </w:pPr>
      <w:r>
        <w:rPr>
          <w:rFonts w:ascii="Noto Sans" w:hAnsi="Noto Sans" w:eastAsia="Arial Unicode MS" w:cs="Noto Sans"/>
          <w:b w:val="0"/>
        </w:rPr>
        <w:t>Al recibir un aviso que contenga información básica verificable, el operador deberá, según la naturaleza del contenido, las pruebas preliminares y las leyes aplicables, tomar rápidamente medidas razonables como contactar al editor del contenido, restringir la visualización, bloquear temporalmente, eliminar contenido, desconectar enlaces, preservar evidencia, restaurar contenido eliminado accidentalmente, proporcionar canales para apelaciones o contranotificaciones, o rechazar claramente las quejas infundadas.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Según las regulaciones actuales de derechos de autor en redes chinas y la práctica judicial, se enfatiza el mecanismo de "aviso-retirada". Los avisos de infracción de derechos de autor deben incluir información suficiente para identificar el contenido y pruebas preliminares que respalden la reclamación de derechos o la infracción; tras recibir un aviso válido, la plataforma deberá tomar medidas necesarias oportunamente según las circunstancias específicas.</w:t>
            </w:r>
          </w:p>
        </w:tc>
      </w:tr>
    </w:tbl>
    <w:p>
      <w:pPr>
        <w:spacing w:after="40"/>
      </w:pPr>
    </w:p>
    <w:p>
      <w:pPr>
        <w:pStyle w:val="Heading1"/>
        <w:keepLines w:val="0"/>
      </w:pPr>
      <w:r>
        <w:rPr>
          <w:rFonts w:ascii="Noto Sans" w:hAnsi="Noto Sans" w:eastAsia="Arial Unicode MS" w:cs="Noto Sans"/>
          <w:b w:val="0"/>
        </w:rPr>
        <w:t>5. Quejas por Derechos de Autor de Usuarios de EE. UU.</w:t>
      </w:r>
    </w:p>
    <w:p>
      <w:pPr>
        <w:keepLines w:val="0"/>
      </w:pPr>
      <w:r>
        <w:rPr>
          <w:rFonts w:ascii="Noto Sans" w:hAnsi="Noto Sans" w:eastAsia="Arial Unicode MS" w:cs="Noto Sans"/>
          <w:b w:val="0"/>
        </w:rPr>
        <w:t xml:space="preserve">Si cree que el contenido en la DAWNBLOOM Community o en el sitio web oficial infringe sus derechos de autor, envíe la URL del contenido, los detalles de la obra protegida, la prueba de propiedad o autorización y un correo electrónico de contacto a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Revisaremos y responderemos según las normas aplicables.</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es actualmente el canal general de quejas por derechos de autor. Esta página no afirma que se haya registrado un agente designado bajo la Sección 512 del DMCA, ni presenta el buzón de correo general como un agente designado registrado.</w:t>
      </w:r>
    </w:p>
    <w:p>
      <w:pPr>
        <w:keepLines w:val="0"/>
      </w:pPr>
      <w:r>
        <w:rPr>
          <w:rFonts w:ascii="Noto Sans" w:hAnsi="Noto Sans" w:eastAsia="Arial Unicode MS" w:cs="Noto Sans"/>
          <w:b w:val="0"/>
        </w:rPr>
        <w:t>Si se introduce un proceso dedicado de notificación, retirada y contra-notificación en EE. UU., su alcance, la información requerida y los pasos de gestión se publicarán en el punto de entrada formal.</w:t>
      </w:r>
    </w:p>
    <w:p>
      <w:pPr>
        <w:keepLines w:val="0"/>
      </w:pPr>
      <w:r>
        <w:rPr>
          <w:rFonts w:ascii="Noto Sans" w:hAnsi="Noto Sans" w:eastAsia="Arial Unicode MS" w:cs="Noto Sans"/>
          <w:b w:val="0"/>
        </w:rPr>
        <w:t>Si cree que su contenido fue eliminado por error, también puede solicitar una revisión a través de ese correo electrónico con la URL original del contenido, el aviso de eliminación, la base de sus derechos o autorización y los datos de contacto.</w:t>
      </w:r>
    </w:p>
    <w:p>
      <w:pPr>
        <w:pStyle w:val="Heading1"/>
        <w:keepLines w:val="0"/>
      </w:pPr>
      <w:r>
        <w:rPr>
          <w:rFonts w:ascii="Noto Sans" w:hAnsi="Noto Sans" w:eastAsia="Arial Unicode MS" w:cs="Noto Sans"/>
          <w:b w:val="0"/>
        </w:rPr>
        <w:t>6. Derechos de Autor en Japón y Contenido Generado por Jugadores</w:t>
      </w:r>
    </w:p>
    <w:p>
      <w:pPr>
        <w:keepLines w:val="0"/>
      </w:pPr>
      <w:r>
        <w:rPr>
          <w:rFonts w:ascii="Noto Sans" w:hAnsi="Noto Sans" w:eastAsia="Arial Unicode MS" w:cs="Noto Sans"/>
          <w:b w:val="0"/>
        </w:rPr>
        <w:t>Al proporcionar contenido a usuarios japoneses, cualquier reenvío público, carga o uso de obras de terceros generalmente debe cumplir con la Ley de Derechos de Autor de Japón y el alcance de la autorización poseída por los respectivos titulares de derechos. La licencia otorgada por DAWNBLOOM para reenviar materiales oficiales cubre únicamente el contenido oficial explícitamente permitido en la Sección 3 de este documento y no constituye autorización de ningún otro titular de derechos.</w:t>
      </w:r>
    </w:p>
    <w:p>
      <w:pPr>
        <w:keepLines w:val="0"/>
      </w:pPr>
      <w:r>
        <w:rPr>
          <w:rFonts w:ascii="Noto Sans" w:hAnsi="Noto Sans" w:eastAsia="Arial Unicode MS" w:cs="Noto Sans"/>
          <w:b w:val="0"/>
        </w:rPr>
        <w:t>Si el contenido cargado por usuarios japoneses es objeto de queja por parte de los titulares de derechos, el operador puede realizar verificaciones y gestiones de acuerdo con las leyes aplicables, las reglas de la plataforma y los mecanismos especificados en la Sección 4 de este documento. Para los límites aplicables de la fanfiction, transmisiones en vivo, edición de video y otras obras de fans, consulte las actuales Directrices de Contenido de Fans y Obras Derivadas.</w:t>
      </w:r>
    </w:p>
    <w:p>
      <w:pPr>
        <w:pStyle w:val="Heading1"/>
        <w:keepLines w:val="0"/>
      </w:pPr>
      <w:r>
        <w:rPr>
          <w:rFonts w:ascii="Noto Sans" w:hAnsi="Noto Sans" w:eastAsia="Arial Unicode MS" w:cs="Noto Sans"/>
          <w:b w:val="0"/>
        </w:rPr>
        <w:t>7. Declaraciones sobre Marcas Registradas y Marcas de Terceros</w:t>
      </w:r>
    </w:p>
    <w:p>
      <w:pPr>
        <w:keepLines w:val="0"/>
      </w:pPr>
      <w:r>
        <w:rPr>
          <w:rFonts w:ascii="Noto Sans" w:hAnsi="Noto Sans" w:eastAsia="Arial Unicode MS" w:cs="Noto Sans"/>
          <w:b w:val="0"/>
        </w:rPr>
        <w:t>El sitio web de DAWNBLOOM, la aplicación cliente o los materiales promocionales pueden hacer referencia a nombres, marcas comerciales, marcas de servicio o logotipos oficiales de terceros para ilustrar la compatibilidad con la plataforma, puntos de descarga, métodos de pago, canales comunitarios o servicios relacionados. Estas referencias son únicamente con fines de identificación y no implican que el tercero participe en el desarrollo, distribución, operación, patrocinio, certificación o respaldo de DAWNBLOOM, salvo que se indique explícitamente por escrito lo contrario.</w:t>
      </w:r>
    </w:p>
    <w:p>
      <w:pPr>
        <w:keepLines w:val="0"/>
      </w:pPr>
      <w:r>
        <w:rPr>
          <w:rFonts w:ascii="Noto Sans" w:hAnsi="Noto Sans" w:eastAsia="Arial Unicode MS" w:cs="Noto Sans"/>
          <w:b w:val="0"/>
        </w:rPr>
        <w:t>Los nombres y marcas como Apple, Google, Microsoft, Steam, App Store, Google Play, Gmail y Outlook pertenecen a sus respectivos propietarios. Una referencia de compatibilidad o enlace a una tienda no implica asociación ni respaldo.</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Ejemplos de identificadores de terceros</w:t>
            </w:r>
          </w:p>
        </w:tc>
        <w:tc>
          <w:tcPr>
            <w:tcW w:type="dxa" w:w="4873"/>
            <w:vAlign w:val="center"/>
            <w:shd w:fill="DCE8F7"/>
          </w:tcPr>
          <w:p>
            <w:pPr>
              <w:keepNext/>
              <w:spacing w:after="40"/>
            </w:pPr>
            <w:r>
              <w:rPr>
                <w:rFonts w:ascii="Noto Sans" w:hAnsi="Noto Sans" w:eastAsia="Arial Unicode MS" w:cs="Noto Sans"/>
                <w:b/>
                <w:sz w:val="17"/>
              </w:rPr>
              <w:t>Explicación</w:t>
            </w:r>
          </w:p>
        </w:tc>
      </w:tr>
      <w:tr>
        <w:trPr>
          <w:cantSplit/>
        </w:trPr>
        <w:tc>
          <w:tcPr>
            <w:tcW w:type="dxa" w:w="4873"/>
            <w:vAlign w:val="center"/>
          </w:tcPr>
          <w:p>
            <w:pPr>
              <w:spacing w:after="40"/>
            </w:pPr>
            <w:r>
              <w:rPr>
                <w:rFonts w:ascii="Noto Sans" w:hAnsi="Noto Sans" w:eastAsia="Arial Unicode MS" w:cs="Noto Sans"/>
                <w:sz w:val="17"/>
              </w:rPr>
              <w:t>Apple, App Store, Apple Pay, iPhone, iPad, Mac, etc.</w:t>
            </w:r>
          </w:p>
        </w:tc>
        <w:tc>
          <w:tcPr>
            <w:tcW w:type="dxa" w:w="4873"/>
            <w:vAlign w:val="center"/>
          </w:tcPr>
          <w:p>
            <w:pPr>
              <w:spacing w:after="40"/>
            </w:pPr>
            <w:r>
              <w:rPr>
                <w:rFonts w:ascii="Noto Sans" w:hAnsi="Noto Sans" w:eastAsia="Arial Unicode MS" w:cs="Noto Sans"/>
                <w:sz w:val="17"/>
              </w:rPr>
              <w:t>Los nombres y logotipos referenciados son propiedad de Apple Inc. o sus titulares de derechos afiliados. Al utilizar logotipos oficiales como App Store o Apple Pay, debe observarse estrictamente el cumplimiento de las últimas directrices de marca y legales de Apple.</w:t>
            </w:r>
          </w:p>
        </w:tc>
      </w:tr>
      <w:tr>
        <w:trPr>
          <w:cantSplit/>
        </w:trPr>
        <w:tc>
          <w:tcPr>
            <w:tcW w:type="dxa" w:w="4873"/>
            <w:vAlign w:val="center"/>
          </w:tcPr>
          <w:p>
            <w:pPr>
              <w:spacing w:after="40"/>
            </w:pPr>
            <w:r>
              <w:rPr>
                <w:rFonts w:ascii="Noto Sans" w:hAnsi="Noto Sans" w:eastAsia="Arial Unicode MS" w:cs="Noto Sans"/>
                <w:sz w:val="17"/>
              </w:rPr>
              <w:t>Steam, Logotipo de Steam, Valve</w:t>
            </w:r>
          </w:p>
        </w:tc>
        <w:tc>
          <w:tcPr>
            <w:tcW w:type="dxa" w:w="4873"/>
            <w:vAlign w:val="center"/>
          </w:tcPr>
          <w:p>
            <w:pPr>
              <w:spacing w:after="40"/>
            </w:pPr>
            <w:r>
              <w:rPr>
                <w:rFonts w:ascii="Noto Sans" w:hAnsi="Noto Sans" w:eastAsia="Arial Unicode MS" w:cs="Noto Sans"/>
                <w:sz w:val="17"/>
              </w:rPr>
              <w:t>Los nombres y logotipos referenciados son propiedad de Valve Corporation o sus titulares de derechos afiliados. La marca Steam no debe utilizarse para implicar patrocinio o respaldo de Valve para contenido no perteneciente a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Los nombres y logotipos referenciados pertenecen a sus respectivos titulares de derechos.</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Los nombres y logotipos referenciados pertenecen a sus respectivos titulares de derechos.</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Estos se indican únicamente como posibles métodos de pago o integraciones de servicios de terceros; las marcas comerciales pertenecen a sus respectivos titulares de derechos.</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etc.</w:t>
            </w:r>
          </w:p>
        </w:tc>
        <w:tc>
          <w:tcPr>
            <w:tcW w:type="dxa" w:w="4873"/>
            <w:vAlign w:val="center"/>
          </w:tcPr>
          <w:p>
            <w:pPr>
              <w:spacing w:after="40"/>
            </w:pPr>
            <w:r>
              <w:rPr>
                <w:rFonts w:ascii="Noto Sans" w:hAnsi="Noto Sans" w:eastAsia="Arial Unicode MS" w:cs="Noto Sans"/>
                <w:sz w:val="17"/>
              </w:rPr>
              <w:t>Estos se utilizan únicamente para identificar canales comunitarios o sociales oficiales o servicios de terceros; las marcas comerciales pertenecen a sus respectivos titulares de derechos.</w:t>
            </w:r>
          </w:p>
        </w:tc>
      </w:tr>
    </w:tbl>
    <w:p>
      <w:pPr>
        <w:spacing w:after="40"/>
      </w:pPr>
    </w:p>
    <w:p>
      <w:pPr>
        <w:keepLines w:val="0"/>
      </w:pPr>
      <w:r>
        <w:rPr>
          <w:rFonts w:ascii="Noto Sans" w:hAnsi="Noto Sans" w:eastAsia="Arial Unicode MS" w:cs="Noto Sans"/>
          <w:b w:val="0"/>
        </w:rPr>
        <w:t>El operador se esforzará por utilizar logotipos y activos de marca oficiales proporcionados por terceros, y cumplirá con los requisitos relativos al tamaño, espaciado, color, etiquetado y "sin implicación de respaldo". Las directrices de marca de terceros pueden actualizarse; el sitio web oficial seguirá las directrices oficiales más recientes emitidas por el tercero.</w:t>
      </w:r>
    </w:p>
    <w:p>
      <w:pPr>
        <w:pStyle w:val="Heading1"/>
        <w:keepLines w:val="0"/>
      </w:pPr>
      <w:r>
        <w:rPr>
          <w:rFonts w:ascii="Noto Sans" w:hAnsi="Noto Sans" w:eastAsia="Arial Unicode MS" w:cs="Noto Sans"/>
          <w:b w:val="0"/>
        </w:rPr>
        <w:t>8. Software de Código Abierto y Declaraciones de Componentes de Terceros</w:t>
      </w:r>
    </w:p>
    <w:p>
      <w:pPr>
        <w:keepLines w:val="0"/>
      </w:pPr>
      <w:r>
        <w:rPr>
          <w:rFonts w:ascii="Noto Sans" w:hAnsi="Noto Sans" w:eastAsia="Arial Unicode MS" w:cs="Noto Sans"/>
          <w:b w:val="0"/>
        </w:rPr>
        <w:t>El cliente de juego DAWNBLOOM, el servidor, el sitio web oficial o las herramientas de desarrollo relacionadas pueden incluir o depender de software de código abierto de terceros, bibliotecas, marcos de trabajo, fuentes, componentes de procesamiento de audio/imágenes y otras tecnologías. Estos componentes de terceros siguen estando sujetos a sus respectivas licencias, avisos de derechos de autor, requisitos de atribución y otros términos aplicables.</w:t>
      </w:r>
    </w:p>
    <w:p>
      <w:pPr>
        <w:keepLines w:val="0"/>
      </w:pPr>
      <w:r>
        <w:rPr>
          <w:rFonts w:ascii="Noto Sans" w:hAnsi="Noto Sans" w:eastAsia="Arial Unicode MS" w:cs="Noto Sans"/>
          <w:b w:val="0"/>
        </w:rPr>
        <w:t>Las aplicaciones, el sitio web y el juego pueden utilizar componentes de código abierto por separado. Los avisos se adjuntan a los componentes en la versión realmente distribuida; dichas licencias no otorgan a DAWNBLOOM derechos sobre contenido de terceros ajeno.</w:t>
      </w:r>
    </w:p>
    <w:p>
      <w:pPr>
        <w:keepLines w:val="0"/>
      </w:pPr>
      <w:r>
        <w:rPr>
          <w:rFonts w:ascii="Noto Sans" w:hAnsi="Noto Sans" w:eastAsia="Arial Unicode MS" w:cs="Noto Sans"/>
          <w:b w:val="0"/>
        </w:rPr>
        <w:t>En el lanzamiento oficial, el operador deberá mantener una página de Avisos de Código Abierto / Divulgación de Software de Código Abierto o incluir una lista de licencias con la distribución del software, cumpliendo las obligaciones requeridas por MIT, Apache, BSD, OFL, LGPL/GPL o cualquier otra licencia utilizada realmente.</w:t>
      </w:r>
    </w:p>
    <w:p>
      <w:pPr>
        <w:keepLines w:val="0"/>
      </w:pPr>
      <w:r>
        <w:rPr>
          <w:rFonts w:ascii="Noto Sans" w:hAnsi="Noto Sans" w:eastAsia="Arial Unicode MS" w:cs="Noto Sans"/>
          <w:b w:val="0"/>
        </w:rPr>
        <w:t>Los proyectos de código abierto de terceros, autores, fundaciones o titulares de derechos no serán considerados automáticamente como patrocinadores, socios, certificadores o avalistas de DAWNBLOOM meramente porque su tecnología sea utilizada.</w:t>
      </w:r>
    </w:p>
    <w:p>
      <w:pPr>
        <w:pStyle w:val="Heading1"/>
        <w:keepLines w:val="0"/>
      </w:pPr>
      <w:r>
        <w:rPr>
          <w:rFonts w:ascii="Noto Sans" w:hAnsi="Noto Sans" w:eastAsia="Arial Unicode MS" w:cs="Noto Sans"/>
          <w:b w:val="0"/>
        </w:rPr>
        <w:t>9. Enlaces Externos, Servicios de Terceros y Precisión del Contenido</w:t>
      </w:r>
    </w:p>
    <w:p>
      <w:pPr>
        <w:keepLines w:val="0"/>
      </w:pPr>
      <w:r>
        <w:rPr>
          <w:rFonts w:ascii="Noto Sans" w:hAnsi="Noto Sans" w:eastAsia="Arial Unicode MS" w:cs="Noto Sans"/>
          <w:b w:val="0"/>
        </w:rPr>
        <w:t>El sitio web oficial puede incluir enlaces a Steam, la App Store, plataformas de redes sociales, servicios de pago, plataformas de atención al cliente u otros servicios de terceros. Los sitios web y servicios de terceros son operados independientemente por sus respectivas entidades, y DAWNBLOOM no puede controlar su disponibilidad, contenido, prácticas de privacidad, restricciones regionales, términos de servicio o cambios de política.</w:t>
      </w:r>
    </w:p>
    <w:p>
      <w:pPr>
        <w:keepLines w:val="0"/>
      </w:pPr>
      <w:r>
        <w:rPr>
          <w:rFonts w:ascii="Noto Sans" w:hAnsi="Noto Sans" w:eastAsia="Arial Unicode MS" w:cs="Noto Sans"/>
          <w:b w:val="0"/>
        </w:rPr>
        <w:t>Las fuentes de noticias, sitios externos, proveedores de correo y tiendas de aplicaciones controlan su propio contenido, cuentas y términos. Los enlaces oficiales al software se publican en dawnbloom.net o en tiendas expresamente vinculadas desde allí.</w:t>
      </w:r>
    </w:p>
    <w:p>
      <w:pPr>
        <w:keepLines w:val="0"/>
      </w:pPr>
      <w:r>
        <w:rPr>
          <w:rFonts w:ascii="Noto Sans" w:hAnsi="Noto Sans" w:eastAsia="Arial Unicode MS" w:cs="Noto Sans"/>
          <w:b w:val="0"/>
        </w:rPr>
        <w:t>El sitio web oficial hará todo lo posible para garantizar la precisión de los anuncios, guías, instrucciones de descarga, información de compatibilidad y otro contenido públicamente disponible, pero el juego continuará siendo desarrollado y actualizado. Capturas de pantalla, arte conceptual, funciones de prueba, soporte de plataforma planificado y contenido aún no lanzado oficialmente pueden ser ajustados, pospuestos o cancelados según el progreso real del desarrollo. Salvo lo requerido por ley o donde una página constituya explícitamente un compromiso de producto o servicio, el contenido mostrado durante la fase de desarrollo no constituye una garantía irrevocable para versiones futuras.</w:t>
      </w:r>
    </w:p>
    <w:p>
      <w:pPr>
        <w:keepLines w:val="0"/>
      </w:pPr>
      <w:r>
        <w:rPr>
          <w:rFonts w:ascii="Noto Sans" w:hAnsi="Noto Sans" w:eastAsia="Arial Unicode MS" w:cs="Noto Sans"/>
          <w:b w:val="0"/>
        </w:rPr>
        <w:t>Las publicaciones, comentarios, guías y otro contenido generado por usuarios (CGU) publicados por jugadores en DAWNBLOOM Community reflejan únicamente sus opiniones individuales y no necesariamente representan la postura oficial de DAWNBLOOM.</w:t>
      </w:r>
    </w:p>
    <w:p>
      <w:pPr>
        <w:pStyle w:val="Heading1"/>
        <w:keepLines w:val="0"/>
      </w:pPr>
      <w:r>
        <w:rPr>
          <w:rFonts w:ascii="Noto Sans" w:hAnsi="Noto Sans" w:eastAsia="Arial Unicode MS" w:cs="Noto Sans"/>
          <w:b w:val="0"/>
        </w:rPr>
        <w:t>10. Guía de Dawnbloom y Servicios de IA para Jugadores</w:t>
      </w:r>
    </w:p>
    <w:p>
      <w:pPr>
        <w:keepLines w:val="0"/>
      </w:pPr>
      <w:r>
        <w:rPr>
          <w:rFonts w:ascii="Noto Sans" w:hAnsi="Noto Sans" w:eastAsia="Arial Unicode MS" w:cs="Noto Sans"/>
          <w:b w:val="0"/>
        </w:rPr>
        <w:t>DAWNBLOOM AI es la marca del sistema de interacción inteligente y de los servicios tecnológicos de nuestra empresa; DAWNBLOOM Fairy es el compañero inteligente y la representación interactiva de ese mismo sistema de servicios de cara a los usuarios. DAWNBLOOM AI 2.0 identifica la versión pública de dicho sistema de servicios inteligentes y no significa que nuestra empresa haya entrenado de forma independiente un modelo de lenguaje de gran tamaño de base. DAWNBLOOM Fairy es el asistente inteligente del juego y el acceso a los servicios de AI para jugadores que DAWNBLOOM ofrece a estos. Puede responder a preguntas sobre mecánicas, misiones, clases, criaturas fantásticas, mapas, eventos y guías del juego visibles para los jugadores, así como ayudar a gestionar u orientar la gestión de cuestiones de seguridad de cuentas, activos del juego, pedidos de recarga, estados anómalos y solicitudes de atención al cliente. El servicio se limita a consultas sobre conocimientos públicos del juego y de los productos, comunicación textual en lenguaje natural, orientación sobre servicios para jugadores y las capacidades de interfaz de Intelligent UI efectivamente habilitadas; los idiomas disponibles en el sitio web oficial no amplían los idiomas del cliente del juego ni los de cada uno de los seis productos de software. Actualmente no se ofrecen generación o edición de imágenes, creación de PDF, Word, diapositivas u hojas de cálculo, ni automatización ofimática de uso general.</w:t>
      </w:r>
    </w:p>
    <w:p>
      <w:pPr>
        <w:keepLines w:val="0"/>
      </w:pPr>
      <w:r>
        <w:rPr>
          <w:rFonts w:ascii="Noto Sans" w:hAnsi="Noto Sans" w:eastAsia="Arial Unicode MS" w:cs="Noto Sans"/>
          <w:b w:val="0"/>
        </w:rPr>
        <w:t>DAWNBLOOM Guide puede ayudar a los jugadores a resolver problemas, entre otros:</w:t>
      </w:r>
    </w:p>
    <w:p>
      <w:pPr>
        <w:pStyle w:val="ListBullet"/>
        <w:keepLines w:val="0"/>
      </w:pPr>
      <w:r>
        <w:rPr>
          <w:rFonts w:ascii="Noto Sans" w:hAnsi="Noto Sans" w:eastAsia="Arial Unicode MS" w:cs="Noto Sans"/>
          <w:b w:val="0"/>
        </w:rPr>
        <w:t>Mecánicas del juego, progreso de misiones, desarrollo de carrera, cultivo de bestias fantasmales, exploración de mapas, reglas de eventos y estrategias de juego;</w:t>
      </w:r>
    </w:p>
    <w:p>
      <w:pPr>
        <w:pStyle w:val="ListBullet"/>
        <w:keepLines w:val="0"/>
      </w:pPr>
      <w:r>
        <w:rPr>
          <w:rFonts w:ascii="Noto Sans" w:hAnsi="Noto Sans" w:eastAsia="Arial Unicode MS" w:cs="Noto Sans"/>
          <w:b w:val="0"/>
        </w:rPr>
        <w:t>Anomalías en el inicio de sesión de la cuenta, contraseñas olvidadas, verificación por correo electrónico o número de teléfono, riesgos de seguridad de la cuenta y sospecha de robo de cuenta;</w:t>
      </w:r>
    </w:p>
    <w:p>
      <w:pPr>
        <w:pStyle w:val="ListBullet"/>
        <w:keepLines w:val="0"/>
      </w:pPr>
      <w:r>
        <w:rPr>
          <w:rFonts w:ascii="Noto Sans" w:hAnsi="Noto Sans" w:eastAsia="Arial Unicode MS" w:cs="Noto Sans"/>
          <w:b w:val="0"/>
        </w:rPr>
        <w:t>Pérdida, discrepancias en la cantidad o anomalías en el estado de personajes, objetos, equipo, bestias fantasmales, monedas de oro o monedas mágicas;</w:t>
      </w:r>
    </w:p>
    <w:p>
      <w:pPr>
        <w:pStyle w:val="ListBullet"/>
        <w:keepLines w:val="0"/>
      </w:pPr>
      <w:r>
        <w:rPr>
          <w:rFonts w:ascii="Noto Sans" w:hAnsi="Noto Sans" w:eastAsia="Arial Unicode MS" w:cs="Noto Sans"/>
          <w:b w:val="0"/>
        </w:rPr>
        <w:t>Consumos anómalos, ganancias anómalas, anomalías en transacciones, recompensas no recibidas, anomalías en recompensas de eventos o anomalías en mensajes o sistemas de mensajería;</w:t>
      </w:r>
    </w:p>
    <w:p>
      <w:pPr>
        <w:pStyle w:val="ListBullet"/>
        <w:keepLines w:val="0"/>
      </w:pPr>
      <w:r>
        <w:rPr>
          <w:rFonts w:ascii="Noto Sans" w:hAnsi="Noto Sans" w:eastAsia="Arial Unicode MS" w:cs="Noto Sans"/>
          <w:b w:val="0"/>
        </w:rPr>
        <w:t>Recargas, pedidos, compras en tienda, intercambios y problemas relacionados con la entrega o confirmación;</w:t>
      </w:r>
    </w:p>
    <w:p>
      <w:pPr>
        <w:pStyle w:val="ListBullet"/>
        <w:keepLines w:val="0"/>
      </w:pPr>
      <w:r>
        <w:rPr>
          <w:rFonts w:ascii="Noto Sans" w:hAnsi="Noto Sans" w:eastAsia="Arial Unicode MS" w:cs="Noto Sans"/>
          <w:b w:val="0"/>
        </w:rPr>
        <w:t>Informes sobre errores del juego, fallos funcionales, bloqueos, desconexiones o desincronización de datos;</w:t>
      </w:r>
    </w:p>
    <w:p>
      <w:pPr>
        <w:pStyle w:val="ListBullet"/>
        <w:keepLines w:val="0"/>
      </w:pPr>
      <w:r>
        <w:rPr>
          <w:rFonts w:ascii="Noto Sans" w:hAnsi="Noto Sans" w:eastAsia="Arial Unicode MS" w:cs="Noto Sans"/>
          <w:b w:val="0"/>
        </w:rPr>
        <w:t>Apelaciones por pérdidas de personajes, objetos, bestias fantasmales y moneda resultantes del robo de cuenta;</w:t>
      </w:r>
    </w:p>
    <w:p>
      <w:pPr>
        <w:pStyle w:val="ListBullet"/>
        <w:keepLines w:val="0"/>
      </w:pPr>
      <w:r>
        <w:rPr>
          <w:rFonts w:ascii="Noto Sans" w:hAnsi="Noto Sans" w:eastAsia="Arial Unicode MS" w:cs="Noto Sans"/>
          <w:b w:val="0"/>
        </w:rPr>
        <w:t>Guía para consultas y apelaciones sobre prohibiciones de cuenta, restricciones u otros estados anómalos;</w:t>
      </w:r>
    </w:p>
    <w:p>
      <w:pPr>
        <w:pStyle w:val="ListBullet"/>
        <w:keepLines w:val="0"/>
      </w:pPr>
      <w:r>
        <w:rPr>
          <w:rFonts w:ascii="Noto Sans" w:hAnsi="Noto Sans" w:eastAsia="Arial Unicode MS" w:cs="Noto Sans"/>
          <w:b w:val="0"/>
        </w:rPr>
        <w:t>Otros problemas que requieran asistencia del centro de soporte al jugador.</w:t>
      </w:r>
    </w:p>
    <w:p>
      <w:pPr>
        <w:keepLines w:val="0"/>
      </w:pPr>
      <w:r>
        <w:rPr>
          <w:rFonts w:ascii="Noto Sans" w:hAnsi="Noto Sans" w:eastAsia="Arial Unicode MS" w:cs="Noto Sans"/>
          <w:b w:val="0"/>
        </w:rPr>
        <w:t>Para las cuestiones que puedan resolverse directamente a partir de información pública, DAWNBLOOM Fairy puede proporcionar respuestas inmediatas u orientaciones para su resolución; para las cuestiones sobre seguridad de cuentas, registros de transacciones, activos del juego, recuperación de datos, pérdidas por robo o reclamaciones contra sanciones que requieran comprobar datos del servidor, DAWNBLOOM Fairy puede ayudar a completar la verificación de identidad, organizar la información necesaria, generar procedimientos de tramitación, abrir o remitir solicitudes oficiales de atención y colaborar en la verificación mediante registros del servidor, registros de operaciones y otros datos fiables. Intelligent UI combina las respuestas con fichas de información interactivas, accesos a funciones e interfaces de confirmación. La información sobre criaturas fantásticas, equipamiento, objetos, registros personales del juego y seguridad de la cuenta solo se facilita cuando la función está habilitada, el propio interesado ha otorgado una autorización legítima y el sistema de backend ha confirmado su identidad y los permisos correspondientes, y dentro de ese ámbito. La aparición de una respuesta de AI, una ficha o un botón no significa que se haya ejecutado una operación; las operaciones sensibles requieren verificación formal y las confirmaciones necesarias, y quedan sujetas al resultado del sistema. No se permite eludir el sistema de permisos para modificar datos de jugadores o consultar información no pública de otras personas.</w:t>
      </w:r>
    </w:p>
    <w:p>
      <w:pPr>
        <w:keepLines w:val="0"/>
      </w:pPr>
      <w:r>
        <w:rPr>
          <w:rFonts w:ascii="Noto Sans" w:hAnsi="Noto Sans" w:eastAsia="Arial Unicode MS" w:cs="Noto Sans"/>
          <w:b w:val="0"/>
        </w:rPr>
        <w:t>DAWNBLOOM Guide no modificará directamente los activos del juego o los datos del backend únicamente bajo una solicitud del jugador. Los asuntos que involucren restauración de objetos, restauración de bestias fantasmales, monedas de oro o mágicas anómalas, pérdidas por robo, disputas de transacciones, emisión de recompensas o penalizaciones de cuenta deben manejarse basándose en registros reales, permisos basados en reglas y procedimientos de revisión necesarios. Para proteger la seguridad de la cuenta, DAWNBLOOM Guide nunca solicitará a los jugadores que proporcionen contraseñas de cuenta o códigos de verificación únicos completos. Para operaciones de cuenta de alto riesgo, aún se requerirán mecanismos oficiales de verificación de identidad para la confirmación.</w:t>
      </w:r>
    </w:p>
    <w:p>
      <w:pPr>
        <w:keepLines w:val="0"/>
      </w:pPr>
      <w:r>
        <w:rPr>
          <w:rFonts w:ascii="Noto Sans" w:hAnsi="Noto Sans" w:eastAsia="Arial Unicode MS" w:cs="Noto Sans"/>
          <w:b w:val="0"/>
        </w:rPr>
        <w:t>DAWNBLOOM no revelará campos del backend, fórmulas de cálculo internas, probabilidades no anunciadas, multiplicadores internos, estrategias de seguridad, métodos de explotación de vulnerabilidades, documentos de planificación no publicados, información de administradores ni ningún otro dato no público a los jugadores. El sistema de IA puede presentar errores de comprensión, retraso en la información o expresión incompleta; si alguna respuesta de Dawnbloom Guide entra en conflicto con los anuncios oficiales, las páginas de producto, Política de privacidad, Reglas del jugador y política de aplicación, Términos de venta y reembolso, datos oficialmente verificados o resultados revisados manualmente, prevalecerán estos últimos.</w:t>
      </w:r>
    </w:p>
    <w:p>
      <w:pPr>
        <w:keepLines w:val="0"/>
      </w:pPr>
      <w:r>
        <w:rPr>
          <w:rFonts w:ascii="Noto Sans" w:hAnsi="Noto Sans" w:eastAsia="Arial Unicode MS" w:cs="Noto Sans"/>
          <w:b w:val="0"/>
        </w:rPr>
        <w:t>La integración tecnológica utiliza las capacidades de Qwen de Alibaba Cloud Model Studio; el acceso al modelo utiliza un endpoint de la región de Tokio, Japón. La ubicación regional del endpoint no significa que todos los datos de los usuarios se traten exclusivamente en Japón ni sustituye la verificación de los acuerdos de servicio efectivos, los registros del proveedor, los controles de entrenamiento, los ajustes de conservación y las obligaciones transfronterizas. OpenAI Codex participa en la construcción de la base de conocimientos, el desarrollo de funciones, el diseño de la interacción y la optimización continua; ello no le otorga automáticamente acceso a los datos de conversación de los usuarios ni significa que haya entrenado el modelo de base Qwen.</w:t>
      </w:r>
    </w:p>
    <w:p>
      <w:pPr>
        <w:pStyle w:val="Heading1"/>
        <w:keepLines w:val="0"/>
      </w:pPr>
      <w:r>
        <w:rPr>
          <w:rFonts w:ascii="Noto Sans" w:hAnsi="Noto Sans" w:eastAsia="Arial Unicode MS" w:cs="Noto Sans"/>
          <w:b w:val="0"/>
        </w:rPr>
        <w:t>11. Vulnerabilidades de Seguridad, Avisos Legales y Solicitudes de Aplicación de la Ley</w:t>
      </w:r>
    </w:p>
    <w:p>
      <w:pPr>
        <w:keepLines w:val="0"/>
      </w:pPr>
      <w:r>
        <w:rPr>
          <w:rFonts w:ascii="Noto Sans" w:hAnsi="Noto Sans" w:eastAsia="Arial Unicode MS" w:cs="Noto Sans"/>
          <w:b w:val="0"/>
        </w:rPr>
        <w:t xml:space="preserve">Si descubre vulnerabilidades en el sitio web oficial, el sistema de cuentas, DAWNBLOOM Community, atención al cliente con IA o los servicios del juego que puedan poner en peligro la seguridad de las cuentas, datos o servicios de los jugadores, le recomendamos divulgarlas de manera responsable a través de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o del soporte oficial al cliente. No divulgue públicamente detalles de exploits, métodos para copiar objetos, scripts de ataque, credenciales de inicio de sesión, información personal de terceros ni datos internos del backend que puedan ser mal utilizados de inmediato.</w:t>
      </w:r>
    </w:p>
    <w:p>
      <w:pPr>
        <w:keepLines w:val="0"/>
      </w:pPr>
      <w:r>
        <w:rPr>
          <w:rFonts w:ascii="Noto Sans" w:hAnsi="Noto Sans" w:eastAsia="Arial Unicode MS" w:cs="Noto Sans"/>
          <w:b w:val="0"/>
        </w:rPr>
        <w:t>Las solicitudes de retención, divulgación, eliminación, bloqueo o asistencia presentadas por tribunales, autoridades regulatorias, agencias de aplicación de la ley u otras entidades legalmente autorizadas serán revisadas y procesadas según las leyes aplicables, la autoridad de la solicitud, la autenticidad y la necesidad. Los límites para la divulgación y retención de información personal están especificados en la Política de Privacidad.</w:t>
      </w:r>
    </w:p>
    <w:p>
      <w:pPr>
        <w:pStyle w:val="Heading1"/>
        <w:keepLines w:val="0"/>
      </w:pPr>
      <w:r>
        <w:rPr>
          <w:rFonts w:ascii="Noto Sans" w:hAnsi="Noto Sans" w:eastAsia="Arial Unicode MS" w:cs="Noto Sans"/>
          <w:b w:val="0"/>
        </w:rPr>
        <w:t>12. Índice de Información Legal Regional</w:t>
      </w:r>
    </w:p>
    <w:p>
      <w:pPr>
        <w:keepLines w:val="0"/>
      </w:pPr>
      <w:r>
        <w:rPr>
          <w:rFonts w:ascii="Noto Sans" w:hAnsi="Noto Sans" w:eastAsia="Arial Unicode MS" w:cs="Noto Sans"/>
          <w:b w:val="0"/>
        </w:rPr>
        <w:t>Esta página sirve como punto de entrada general de información legal y no reemplaza las divulgaciones estatutarias obligatorias requeridas por las jurisdicciones aplicables. Si ocurren cambios respecto a la entidad operadora, la ubicación del servidor, el método de procesamiento de pagos, la información del vendedor, el modelo de UGC del foro o las políticas de la tienda de aplicaciones, las páginas legales correspondientes se actualizarán en consecuencia.</w:t>
      </w:r>
    </w:p>
    <w:p>
      <w:pPr>
        <w:pStyle w:val="Heading1"/>
        <w:keepLines w:val="0"/>
      </w:pPr>
      <w:r>
        <w:rPr>
          <w:rFonts w:ascii="Noto Sans" w:hAnsi="Noto Sans" w:eastAsia="Arial Unicode MS" w:cs="Noto Sans"/>
          <w:b w:val="0"/>
        </w:rPr>
        <w:t>13. Contáctenos</w:t>
      </w:r>
    </w:p>
    <w:p>
      <w:pPr>
        <w:keepLines w:val="0"/>
      </w:pPr>
      <w:r>
        <w:rPr>
          <w:rFonts w:ascii="Noto Sans" w:hAnsi="Noto Sans" w:eastAsia="Arial Unicode MS" w:cs="Noto Sans"/>
          <w:b w:val="0"/>
        </w:rPr>
        <w:t xml:space="preserve">Soporte general para jugadores: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consultas legales, de derechos de autor y privacidad: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vulnerabilidades de seguridad e incidentes de seguridad: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medios y cooperación comercial: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Los dominios oficiales y entradas regionales se identifican en la sección 1; los dominios de protección de marca existentes se enumeran en el Aviso Actual de Canales Oficiales y Antiestafa. La cuenta de DAWNBLOOM y DAWNBLOOM Community siguen siendo parte del mismo servicio, y las direcciones de correo electrónico oficiales utilizan @dawnbloom.net.</w:t>
      </w:r>
    </w:p>
    <w:p>
      <w:pPr>
        <w:keepLines w:val="0"/>
      </w:pPr>
      <w:r>
        <w:rPr>
          <w:rFonts w:ascii="Noto Sans" w:hAnsi="Noto Sans" w:eastAsia="Arial Unicode MS" w:cs="Noto Sans"/>
          <w:b w:val="0"/>
        </w:rPr>
        <w:t>Operador / proveedor de servicios web: Shanghai Zhuiguang Zhichuang Cultural Media Co., Ltd. (nombre público en inglés: SHANGHAI LUMIREALM CREATIVE MEDIA CO., LTD.)</w:t>
      </w:r>
    </w:p>
    <w:p>
      <w:pPr>
        <w:keepLines w:val="0"/>
      </w:pPr>
      <w:r>
        <w:rPr>
          <w:rFonts w:ascii="Noto Sans" w:hAnsi="Noto Sans" w:eastAsia="Arial Unicode MS" w:cs="Noto Sans"/>
          <w:b w:val="0"/>
        </w:rPr>
        <w:t>Dirección de operaciones / Dirección oficial de contacto: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Legal y Avisos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