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Política de Cookies y Tecnologías Similares de DAWNBLOOM</w:t>
      </w:r>
    </w:p>
    <w:p>
      <w:pPr>
        <w:keepLines w:val="0"/>
      </w:pPr>
      <w:r>
        <w:rPr>
          <w:rFonts w:ascii="Noto Sans" w:hAnsi="Noto Sans" w:eastAsia="Noto Sans TC" w:cs="Noto Sans"/>
          <w:b w:val="0"/>
        </w:rPr>
        <w:t>Política de Cookies y Tecnologías Similares · Versión Oficial</w:t>
      </w:r>
    </w:p>
    <w:p>
      <w:pPr>
        <w:keepLines w:val="0"/>
      </w:pPr>
      <w:r>
        <w:rPr>
          <w:rFonts w:ascii="Noto Sans" w:hAnsi="Noto Sans" w:eastAsia="Noto Sans TC" w:cs="Noto Sans"/>
          <w:b w:val="0"/>
        </w:rPr>
        <w:t>Versión: V7</w:t>
      </w:r>
    </w:p>
    <w:p>
      <w:pPr>
        <w:keepLines w:val="0"/>
      </w:pPr>
      <w:r>
        <w:rPr>
          <w:rFonts w:ascii="Noto Sans" w:hAnsi="Noto Sans" w:eastAsia="Noto Sans TC" w:cs="Noto Sans"/>
          <w:b w:val="0"/>
        </w:rPr>
        <w:t>Fecha de entrada en vigor: 9 de octubre de 2026</w:t>
      </w:r>
    </w:p>
    <w:p>
      <w:pPr>
        <w:keepLines w:val="0"/>
      </w:pPr>
      <w:r>
        <w:rPr>
          <w:rFonts w:ascii="Noto Sans" w:hAnsi="Noto Sans" w:eastAsia="Noto Sans TC" w:cs="Noto Sans"/>
          <w:b w:val="0"/>
        </w:rPr>
        <w:t>Actualizado: 9 de octubre de 2026</w:t>
      </w:r>
    </w:p>
    <w:p>
      <w:pPr>
        <w:keepLines w:val="0"/>
      </w:pPr>
      <w:r>
        <w:rPr>
          <w:rFonts w:ascii="Noto Sans" w:hAnsi="Noto Sans" w:eastAsia="Noto Sans TC" w:cs="Noto Sans"/>
          <w:b w:val="0"/>
        </w:rPr>
      </w:r>
    </w:p>
    <w:p>
      <w:pPr>
        <w:keepLines w:val="0"/>
      </w:pPr>
      <w:r>
        <w:rPr>
          <w:rFonts w:ascii="Noto Sans" w:hAnsi="Noto Sans" w:eastAsia="Noto Sans TC" w:cs="Noto Sans"/>
          <w:b w:val="0"/>
        </w:rPr>
        <w:t>Aplicabilidad: dawnbloom.net, subdominios oficiales, DAWNBLOOM Community y servicios web relacionados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Principios de diseño actuales:</w:t>
              <w:br/>
              <w:t>DAWNBLOOM actualmente no integra herramientas de seguimiento de marketing de terceros como Google Analytics o Meta Pixel. La información del usuario no se venderá ni se compartirá con plataformas de publicidad conductual entre sitios o contextos. No se establecerán cookies publicitarias dirigidas. Por lo tanto, esta política limita los cookies y tecnologías similares a aquellos esenciales para la gestión de cuentas, el uso del foro, las funciones de la tienda, las preferencias de idioma y la protección de seguridad.</w:t>
            </w:r>
          </w:p>
        </w:tc>
      </w:tr>
    </w:tbl>
    <w:p>
      <w:pPr>
        <w:spacing w:after="40"/>
      </w:pPr>
    </w:p>
    <w:p>
      <w:pPr>
        <w:pStyle w:val="Heading1"/>
        <w:keepLines w:val="0"/>
      </w:pPr>
      <w:r>
        <w:rPr>
          <w:rFonts w:ascii="Noto Sans" w:hAnsi="Noto Sans" w:eastAsia="Noto Sans TC" w:cs="Noto Sans"/>
          <w:b w:val="0"/>
        </w:rPr>
        <w:t>Resumen de una página: Cómo utilizamos las cookies</w:t>
      </w:r>
    </w:p>
    <w:p>
      <w:pPr>
        <w:pStyle w:val="ListBullet"/>
        <w:keepLines w:val="0"/>
      </w:pPr>
      <w:r>
        <w:rPr>
          <w:rFonts w:ascii="Noto Sans" w:hAnsi="Noto Sans" w:eastAsia="Noto Sans TC" w:cs="Noto Sans"/>
          <w:b w:val="0"/>
        </w:rPr>
        <w:t>Utilizamos almacenamiento de navegador de primera parte para mantener sesiones de inicio de sesión y comunitarias, proteger las solicitudes, recordar el idioma del sitio web elegido y la configuración de los minijuegos. El almacenamiento de estados de transacción de la tienda no está actualmente habilitado.</w:t>
      </w:r>
    </w:p>
    <w:p>
      <w:pPr>
        <w:pStyle w:val="ListBullet"/>
        <w:keepLines w:val="0"/>
      </w:pPr>
      <w:r>
        <w:rPr>
          <w:rFonts w:ascii="Noto Sans" w:hAnsi="Noto Sans" w:eastAsia="Noto Sans TC" w:cs="Noto Sans"/>
          <w:b w:val="0"/>
        </w:rPr>
        <w:t>Actualmente no utilizamos cookies de seguimiento publicitario, no ofrecemos publicidad conductual entre sitios y no implementamos Google Analytics ni Meta Pixel.</w:t>
      </w:r>
    </w:p>
    <w:p>
      <w:pPr>
        <w:pStyle w:val="ListBullet"/>
        <w:keepLines w:val="0"/>
      </w:pPr>
      <w:r>
        <w:rPr>
          <w:rFonts w:ascii="Noto Sans" w:hAnsi="Noto Sans" w:eastAsia="Noto Sans TC" w:cs="Noto Sans"/>
          <w:b w:val="0"/>
        </w:rPr>
        <w:t>Cloudflare, que actúa como proveedor de servicios DNS/CDN/seguridad, puede establecer cookies de seguridad necesarias al habilitar funciones como desafíos de seguridad, Bot Fight y limitación de velocidad, según la configuración real.</w:t>
      </w:r>
    </w:p>
    <w:p>
      <w:pPr>
        <w:pStyle w:val="ListBullet"/>
        <w:keepLines w:val="0"/>
      </w:pPr>
      <w:r>
        <w:rPr>
          <w:rFonts w:ascii="Noto Sans" w:hAnsi="Noto Sans" w:eastAsia="Noto Sans TC" w:cs="Noto Sans"/>
          <w:b w:val="0"/>
        </w:rPr>
        <w:t>Puede borrar o bloquear cookies en su navegador. Bloquear elementos necesarios para el inicio de sesión y la seguridad puede impedir el acceso, finalizar una sesión de comunidad o repetir un desafío de seguridad.</w:t>
      </w:r>
    </w:p>
    <w:p>
      <w:pPr>
        <w:pStyle w:val="ListBullet"/>
        <w:keepLines w:val="0"/>
      </w:pPr>
      <w:r>
        <w:rPr>
          <w:rFonts w:ascii="Noto Sans" w:hAnsi="Noto Sans" w:eastAsia="Noto Sans TC" w:cs="Noto Sans"/>
          <w:b w:val="0"/>
        </w:rPr>
        <w:t>En el futuro, si introducimos tecnologías de análisis, publicidad u otros tipos de seguimiento no esenciales, primero actualizaremos esta política y, cuando lo exija la ley aplicable, proporcionaremos a los usuarios mecanismos para consentir, optar por no participar o retirar dicho uso.</w:t>
      </w:r>
    </w:p>
    <w:p>
      <w:pPr>
        <w:pStyle w:val="Heading1"/>
        <w:keepLines w:val="0"/>
      </w:pPr>
      <w:r>
        <w:rPr>
          <w:rFonts w:ascii="Noto Sans" w:hAnsi="Noto Sans" w:eastAsia="Noto Sans TC" w:cs="Noto Sans"/>
          <w:b w:val="0"/>
        </w:rPr>
        <w:t>1. Ámbito de aplicación y relación con esta política</w:t>
      </w:r>
    </w:p>
    <w:p>
      <w:pPr>
        <w:keepLines w:val="0"/>
      </w:pPr>
      <w:r>
        <w:rPr>
          <w:rFonts w:ascii="Noto Sans" w:hAnsi="Noto Sans" w:eastAsia="Noto Sans TC" w:cs="Noto Sans"/>
          <w:b w:val="0"/>
        </w:rPr>
        <w:t xml:space="preserve">Esta política se aplica al sitio principal global dawnbloom.net y a los subdominios oficiales, DAWNBLOOM Community, cuenta, Soporte, páginas de descarga y tienda, y tecnologías relevantes en las entradas de redirección de idioma regional dawnbloom.com.cn y dawnbloom.jp con sus entradas www. Las entradas oficiales de idioma coreano dawnbloom.kr y www.dawnbloom.kr utilizan redirecciones HTTPS 301 a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Los cambios de DNS pueden tardar en propagarse. Utilizan el sitio web unificado y no crean un sitio web, cuenta, base de datos o servidor de juego coreano separado. Las entradas regionales no tienen páginas comerciales separadas. Ambas entradas regionales son abiertas y utilizan redirecciones HTTPS 301 a las rutas del sitio principal chino y japonés respectivamente. Las respuestas de redirección normales no establecen cookies comerciales separadas ni proporcionan páginas independientes ni scripts de análisis. La configuración del informe de errores de red de Cloudflare aún puede involucrar datos de red necesarios; los registros específicos y la configuración de seguridad dependen de la configuración real del servicio. Redirigir no significa que los datos de acceso no se procesen; las cookies de seguridad necesarias dependen de la configuración real y de la visita. Esta política no inventa nombres de cookies ni períodos de retención específicos de entrada. Una vez en el sitio principal, las sesiones y el almacenamiento de idiomas siguen el inventario actual a continuación. Consulte el aviso antifraude para las entradas existentes de protección de marca. Las cookies y los datos de WebView/WebKit de sitios web de terceros visitados en el navegador no son cookies de primera parte del sitio principal; el unificado Política de privacidad, los Términos del Navegador y las políticas de esos sitios explican su manejo.</w:t>
      </w:r>
    </w:p>
    <w:p>
      <w:pPr>
        <w:keepLines w:val="0"/>
      </w:pPr>
      <w:r>
        <w:rPr>
          <w:rFonts w:ascii="Noto Sans" w:hAnsi="Noto Sans" w:eastAsia="Noto Sans TC" w:cs="Noto Sans"/>
          <w:b w:val="0"/>
        </w:rPr>
        <w:t>Las siete páginas de productos del sitio web, las páginas de estado de descarga, soporte y legales caen dentro de esta política de sitio web. Los datos de navegación local, preferencias de noticias, correo o archivos en una aplicación no se convierten en una cookie del sitio web simplemente porque es un producto DAWNBLOOM; consulte la política de privacidad de cada límite.</w:t>
      </w:r>
    </w:p>
    <w:p>
      <w:pPr>
        <w:keepLines w:val="0"/>
      </w:pPr>
      <w:r>
        <w:rPr>
          <w:rFonts w:ascii="Noto Sans" w:hAnsi="Noto Sans" w:eastAsia="Noto Sans TC" w:cs="Noto Sans"/>
          <w:b w:val="0"/>
        </w:rPr>
        <w:t>Esta Política complementa la DAWNBLOOM Política de privacidad para cookies del sitio web. El procesamiento de datos personales sigue sujeto a esa política y a la ley aplicable. En caso de conflicto, se aplica una regla legal que proporcione mayor protección de los derechos del usuario.</w:t>
      </w:r>
    </w:p>
    <w:p>
      <w:pPr>
        <w:keepLines w:val="0"/>
      </w:pPr>
      <w:r>
        <w:rPr>
          <w:rFonts w:ascii="Noto Sans" w:hAnsi="Noto Sans" w:eastAsia="Noto Sans TC" w:cs="Noto Sans"/>
          <w:b w:val="0"/>
        </w:rPr>
        <w:t>Los sitios web y servicios de terceros como Steam, Apple, WeChat, Alipay, UnionPay, Visa, Mastercard, WhatsApp, Facebook, Instagram, YouTube pueden usar Cookies o tecnologías similares en sus propios dominios, páginas, SDK o dentro de flujos de pago/inicio de sesión. Tal uso se rige por las políticas propias de cada tercero.</w:t>
      </w:r>
    </w:p>
    <w:p>
      <w:pPr>
        <w:pStyle w:val="Heading1"/>
        <w:keepLines w:val="0"/>
      </w:pPr>
      <w:r>
        <w:rPr>
          <w:rFonts w:ascii="Noto Sans" w:hAnsi="Noto Sans" w:eastAsia="Noto Sans TC" w:cs="Noto Sans"/>
          <w:b w:val="0"/>
        </w:rPr>
        <w:t>2. ¿Qué son las cookies y las "tecnologías similares"?</w:t>
      </w:r>
    </w:p>
    <w:p>
      <w:pPr>
        <w:keepLines w:val="0"/>
      </w:pPr>
      <w:r>
        <w:rPr>
          <w:rFonts w:ascii="Noto Sans" w:hAnsi="Noto Sans" w:eastAsia="Noto Sans TC" w:cs="Noto Sans"/>
          <w:b w:val="0"/>
        </w:rPr>
        <w:t>Una Cookie es un pequeño fragmento de datos almacenado en su dispositivo por un sitio web a través de su navegador, utilizado comúnmente para identificar una sesión, mantener el inicio de sesión, recordar las preferencias del usuario, proteger el sitio web contra abusos o completar flujos de compra.</w:t>
      </w:r>
    </w:p>
    <w:p>
      <w:pPr>
        <w:keepLines w:val="0"/>
      </w:pPr>
      <w:r>
        <w:rPr>
          <w:rFonts w:ascii="Noto Sans" w:hAnsi="Noto Sans" w:eastAsia="Noto Sans TC" w:cs="Noto Sans"/>
          <w:b w:val="0"/>
        </w:rPr>
        <w:t>Las "tecnologías similares" incluyen, entre otras, el almacenamiento local basado en el navegador (Local Storage), el almacenamiento de sesión (Session Storage), tokens seguros, identificadores de dispositivo o navegador y otros mecanismos de almacenamiento o identificación web utilizados para lograr funciones similares.</w:t>
      </w:r>
    </w:p>
    <w:p>
      <w:pPr>
        <w:keepLines w:val="0"/>
      </w:pPr>
      <w:r>
        <w:rPr>
          <w:rFonts w:ascii="Noto Sans" w:hAnsi="Noto Sans" w:eastAsia="Noto Sans TC" w:cs="Noto Sans"/>
          <w:b w:val="0"/>
        </w:rPr>
        <w:t>Según las directrices públicas de la Comisión de Protección de Información Personal de Japón, los identificadores de dispositivos como las cookies pueden seguir considerándose información referible a personas cuando no constituyen directamente información personal (personal information). Si pueden combinarse fácilmente con otra información para identificar a un individuo específico, dicha información combinada puede considerarse información personal (personal information). Por lo tanto, no asumimos que las cookies no sean información personal (personal information).</w:t>
      </w:r>
    </w:p>
    <w:p>
      <w:pPr>
        <w:pStyle w:val="Heading1"/>
        <w:keepLines w:val="0"/>
      </w:pPr>
      <w:r>
        <w:rPr>
          <w:rFonts w:ascii="Noto Sans" w:hAnsi="Noto Sans" w:eastAsia="Noto Sans TC" w:cs="Noto Sans"/>
          <w:b w:val="0"/>
        </w:rPr>
        <w:t>3. Los tipos de tecnologías que actualmente utilizamos</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Categorías</w:t>
            </w:r>
          </w:p>
        </w:tc>
        <w:tc>
          <w:tcPr>
            <w:tcW w:type="dxa" w:w="1949"/>
            <w:vAlign w:val="center"/>
            <w:shd w:fill="DCE8F7"/>
          </w:tcPr>
          <w:p>
            <w:pPr>
              <w:keepNext/>
              <w:spacing w:after="40"/>
            </w:pPr>
            <w:r>
              <w:rPr>
                <w:rFonts w:ascii="Noto Sans" w:hAnsi="Noto Sans" w:eastAsia="Noto Sans TC" w:cs="Noto Sans"/>
                <w:b/>
                <w:sz w:val="17"/>
              </w:rPr>
              <w:t>Casos de uso típicos</w:t>
            </w:r>
          </w:p>
        </w:tc>
        <w:tc>
          <w:tcPr>
            <w:tcW w:type="dxa" w:w="1949"/>
            <w:vAlign w:val="center"/>
            <w:shd w:fill="DCE8F7"/>
          </w:tcPr>
          <w:p>
            <w:pPr>
              <w:keepNext/>
              <w:spacing w:after="40"/>
            </w:pPr>
            <w:r>
              <w:rPr>
                <w:rFonts w:ascii="Noto Sans" w:hAnsi="Noto Sans" w:eastAsia="Noto Sans TC" w:cs="Noto Sans"/>
                <w:b/>
                <w:sz w:val="17"/>
              </w:rPr>
              <w:t>Estado actual</w:t>
            </w:r>
          </w:p>
        </w:tc>
        <w:tc>
          <w:tcPr>
            <w:tcW w:type="dxa" w:w="1949"/>
            <w:vAlign w:val="center"/>
            <w:shd w:fill="DCE8F7"/>
          </w:tcPr>
          <w:p>
            <w:pPr>
              <w:keepNext/>
              <w:spacing w:after="40"/>
            </w:pPr>
            <w:r>
              <w:rPr>
                <w:rFonts w:ascii="Noto Sans" w:hAnsi="Noto Sans" w:eastAsia="Noto Sans TC" w:cs="Noto Sans"/>
                <w:b/>
                <w:sz w:val="17"/>
              </w:rPr>
              <w:t>Puede deshabilitarse</w:t>
            </w:r>
          </w:p>
        </w:tc>
        <w:tc>
          <w:tcPr>
            <w:tcW w:type="dxa" w:w="1949"/>
            <w:vAlign w:val="center"/>
            <w:shd w:fill="DCE8F7"/>
          </w:tcPr>
          <w:p>
            <w:pPr>
              <w:keepNext/>
              <w:spacing w:after="40"/>
            </w:pPr>
            <w:r>
              <w:rPr>
                <w:rFonts w:ascii="Noto Sans" w:hAnsi="Noto Sans" w:eastAsia="Noto Sans TC" w:cs="Noto Sans"/>
                <w:b/>
                <w:sz w:val="17"/>
              </w:rPr>
              <w:t>Principios de almacenamiento y retención</w:t>
            </w:r>
          </w:p>
        </w:tc>
      </w:tr>
      <w:tr>
        <w:trPr>
          <w:cantSplit/>
        </w:trPr>
        <w:tc>
          <w:tcPr>
            <w:tcW w:type="dxa" w:w="1949"/>
            <w:vAlign w:val="center"/>
          </w:tcPr>
          <w:p>
            <w:pPr>
              <w:spacing w:after="40"/>
            </w:pPr>
            <w:r>
              <w:rPr>
                <w:rFonts w:ascii="Noto Sans" w:hAnsi="Noto Sans" w:eastAsia="Noto Sans TC" w:cs="Noto Sans"/>
                <w:sz w:val="17"/>
              </w:rPr>
              <w:t>Estrictamente necesario / Seguridad</w:t>
            </w:r>
          </w:p>
        </w:tc>
        <w:tc>
          <w:tcPr>
            <w:tcW w:type="dxa" w:w="1949"/>
            <w:vAlign w:val="center"/>
          </w:tcPr>
          <w:p>
            <w:pPr>
              <w:spacing w:after="40"/>
            </w:pPr>
            <w:r>
              <w:rPr>
                <w:rFonts w:ascii="Noto Sans" w:hAnsi="Noto Sans" w:eastAsia="Noto Sans TC" w:cs="Noto Sans"/>
                <w:sz w:val="17"/>
              </w:rPr>
              <w:t>Sesiones de inicio de sesión, verificación de identidad, protección CSRF/contra ataques de repetición, desafíos de seguridad, limitación de velocidad, gestión de sesiones del foro y flujos de transacción en la tienda</w:t>
            </w:r>
          </w:p>
        </w:tc>
        <w:tc>
          <w:tcPr>
            <w:tcW w:type="dxa" w:w="1949"/>
            <w:vAlign w:val="center"/>
          </w:tcPr>
          <w:p>
            <w:pPr>
              <w:spacing w:after="40"/>
            </w:pPr>
            <w:r>
              <w:rPr>
                <w:rFonts w:ascii="Noto Sans" w:hAnsi="Noto Sans" w:eastAsia="Noto Sans TC" w:cs="Noto Sans"/>
                <w:sz w:val="17"/>
              </w:rPr>
              <w:t>Utilizado en contextos reales de inicio de sesión/seguridad; el almacenamiento de transacciones no está habilitado</w:t>
            </w:r>
          </w:p>
        </w:tc>
        <w:tc>
          <w:tcPr>
            <w:tcW w:type="dxa" w:w="1949"/>
            <w:vAlign w:val="center"/>
          </w:tcPr>
          <w:p>
            <w:pPr>
              <w:spacing w:after="40"/>
            </w:pPr>
            <w:r>
              <w:rPr>
                <w:rFonts w:ascii="Noto Sans" w:hAnsi="Noto Sans" w:eastAsia="Noto Sans TC" w:cs="Noto Sans"/>
                <w:sz w:val="17"/>
              </w:rPr>
              <w:t>Típicamente no cancelable durante el uso de funciones principales</w:t>
            </w:r>
          </w:p>
        </w:tc>
        <w:tc>
          <w:tcPr>
            <w:tcW w:type="dxa" w:w="1949"/>
            <w:vAlign w:val="center"/>
          </w:tcPr>
          <w:p>
            <w:pPr>
              <w:spacing w:after="40"/>
            </w:pPr>
            <w:r>
              <w:rPr>
                <w:rFonts w:ascii="Noto Sans" w:hAnsi="Noto Sans" w:eastAsia="Noto Sans TC" w:cs="Noto Sans"/>
                <w:sz w:val="17"/>
              </w:rPr>
              <w:t>La duración razonablemente más corta requerida durante una sesión o para lograr propósitos de seguridad/transacción; los períodos de retención específicos se definirán en la lista oficial de cookies</w:t>
            </w:r>
          </w:p>
        </w:tc>
      </w:tr>
      <w:tr>
        <w:trPr>
          <w:cantSplit/>
        </w:trPr>
        <w:tc>
          <w:tcPr>
            <w:tcW w:type="dxa" w:w="1949"/>
            <w:vAlign w:val="center"/>
          </w:tcPr>
          <w:p>
            <w:pPr>
              <w:spacing w:after="40"/>
            </w:pPr>
            <w:r>
              <w:rPr>
                <w:rFonts w:ascii="Noto Sans" w:hAnsi="Noto Sans" w:eastAsia="Noto Sans TC" w:cs="Noto Sans"/>
                <w:sz w:val="17"/>
              </w:rPr>
              <w:t>Preferencias y funcionalidad</w:t>
            </w:r>
          </w:p>
        </w:tc>
        <w:tc>
          <w:tcPr>
            <w:tcW w:type="dxa" w:w="1949"/>
            <w:vAlign w:val="center"/>
          </w:tcPr>
          <w:p>
            <w:pPr>
              <w:spacing w:after="40"/>
            </w:pPr>
            <w:r>
              <w:rPr>
                <w:rFonts w:ascii="Noto Sans" w:hAnsi="Noto Sans" w:eastAsia="Noto Sans TC" w:cs="Noto Sans"/>
                <w:sz w:val="17"/>
              </w:rPr>
              <w:t>Recuerda tu idioma de sitio web elegido, preferencias de interfaz y elecciones recordadas necesarias.</w:t>
            </w:r>
          </w:p>
        </w:tc>
        <w:tc>
          <w:tcPr>
            <w:tcW w:type="dxa" w:w="1949"/>
            <w:vAlign w:val="center"/>
          </w:tcPr>
          <w:p>
            <w:pPr>
              <w:spacing w:after="40"/>
            </w:pPr>
            <w:r>
              <w:rPr>
                <w:rFonts w:ascii="Noto Sans" w:hAnsi="Noto Sans" w:eastAsia="Noto Sans TC" w:cs="Noto Sans"/>
                <w:sz w:val="17"/>
              </w:rPr>
              <w:t>Actualmente utilizado para las preferencias de idioma del sitio web y mini-juegos</w:t>
            </w:r>
          </w:p>
        </w:tc>
        <w:tc>
          <w:tcPr>
            <w:tcW w:type="dxa" w:w="1949"/>
            <w:vAlign w:val="center"/>
          </w:tcPr>
          <w:p>
            <w:pPr>
              <w:spacing w:after="40"/>
            </w:pPr>
            <w:r>
              <w:rPr>
                <w:rFonts w:ascii="Noto Sans" w:hAnsi="Noto Sans" w:eastAsia="Noto Sans TC" w:cs="Noto Sans"/>
                <w:sz w:val="17"/>
              </w:rPr>
              <w:t>Puede borrarse mediante la configuración del navegador o las futuras opciones de configuración de cookies</w:t>
            </w:r>
          </w:p>
        </w:tc>
        <w:tc>
          <w:tcPr>
            <w:tcW w:type="dxa" w:w="1949"/>
            <w:vAlign w:val="center"/>
          </w:tcPr>
          <w:p>
            <w:pPr>
              <w:spacing w:after="40"/>
            </w:pPr>
            <w:r>
              <w:rPr>
                <w:rFonts w:ascii="Noto Sans" w:hAnsi="Noto Sans" w:eastAsia="Noto Sans TC" w:cs="Noto Sans"/>
                <w:sz w:val="17"/>
              </w:rPr>
              <w:t>zg-locale y el silencio de mini-juegos persisten hasta que se borran; la posición de la música dura solo para la sesión de la pestaña actual</w:t>
            </w:r>
          </w:p>
        </w:tc>
      </w:tr>
      <w:tr>
        <w:trPr>
          <w:cantSplit/>
        </w:trPr>
        <w:tc>
          <w:tcPr>
            <w:tcW w:type="dxa" w:w="1949"/>
            <w:vAlign w:val="center"/>
          </w:tcPr>
          <w:p>
            <w:pPr>
              <w:spacing w:after="40"/>
            </w:pPr>
            <w:r>
              <w:rPr>
                <w:rFonts w:ascii="Noto Sans" w:hAnsi="Noto Sans" w:eastAsia="Noto Sans TC" w:cs="Noto Sans"/>
                <w:sz w:val="17"/>
              </w:rPr>
              <w:t>Rendimiento / Análisis</w:t>
            </w:r>
          </w:p>
        </w:tc>
        <w:tc>
          <w:tcPr>
            <w:tcW w:type="dxa" w:w="1949"/>
            <w:vAlign w:val="center"/>
          </w:tcPr>
          <w:p>
            <w:pPr>
              <w:spacing w:after="40"/>
            </w:pPr>
            <w:r>
              <w:rPr>
                <w:rFonts w:ascii="Noto Sans" w:hAnsi="Noto Sans" w:eastAsia="Noto Sans TC" w:cs="Noto Sans"/>
                <w:sz w:val="17"/>
              </w:rPr>
              <w:t>Volumen de visitas, tiempo en la página, fuentes de tráfico, conversión de marketing y otras analíticas</w:t>
            </w:r>
          </w:p>
        </w:tc>
        <w:tc>
          <w:tcPr>
            <w:tcW w:type="dxa" w:w="1949"/>
            <w:vAlign w:val="center"/>
          </w:tcPr>
          <w:p>
            <w:pPr>
              <w:spacing w:after="40"/>
            </w:pPr>
            <w:r>
              <w:rPr>
                <w:rFonts w:ascii="Noto Sans" w:hAnsi="Noto Sans" w:eastAsia="Noto Sans TC" w:cs="Noto Sans"/>
                <w:sz w:val="17"/>
              </w:rPr>
              <w:t>Actualmente no se utilizan cookies de análisis de terceros</w:t>
            </w:r>
          </w:p>
        </w:tc>
        <w:tc>
          <w:tcPr>
            <w:tcW w:type="dxa" w:w="1949"/>
            <w:vAlign w:val="center"/>
          </w:tcPr>
          <w:p>
            <w:pPr>
              <w:spacing w:after="40"/>
            </w:pPr>
            <w:r>
              <w:rPr>
                <w:rFonts w:ascii="Noto Sans" w:hAnsi="Noto Sans" w:eastAsia="Noto Sans TC" w:cs="Noto Sans"/>
                <w:sz w:val="17"/>
              </w:rPr>
              <w:t>No aplica</w:t>
            </w:r>
          </w:p>
        </w:tc>
        <w:tc>
          <w:tcPr>
            <w:tcW w:type="dxa" w:w="1949"/>
            <w:vAlign w:val="center"/>
          </w:tcPr>
          <w:p>
            <w:pPr>
              <w:spacing w:after="40"/>
            </w:pPr>
            <w:r>
              <w:rPr>
                <w:rFonts w:ascii="Noto Sans" w:hAnsi="Noto Sans" w:eastAsia="Noto Sans TC" w:cs="Noto Sans"/>
                <w:sz w:val="17"/>
              </w:rPr>
              <w:t>Si se activa en el futuro, la implementación comenzará con una actualización de esta política y el cumplimiento de las leyes aplicables sobre controles del usuario</w:t>
            </w:r>
          </w:p>
        </w:tc>
      </w:tr>
      <w:tr>
        <w:trPr>
          <w:cantSplit/>
        </w:trPr>
        <w:tc>
          <w:tcPr>
            <w:tcW w:type="dxa" w:w="1949"/>
            <w:vAlign w:val="center"/>
          </w:tcPr>
          <w:p>
            <w:pPr>
              <w:spacing w:after="40"/>
            </w:pPr>
            <w:r>
              <w:rPr>
                <w:rFonts w:ascii="Noto Sans" w:hAnsi="Noto Sans" w:eastAsia="Noto Sans TC" w:cs="Noto Sans"/>
                <w:sz w:val="17"/>
              </w:rPr>
              <w:t>Publicidad / segmentación</w:t>
            </w:r>
          </w:p>
        </w:tc>
        <w:tc>
          <w:tcPr>
            <w:tcW w:type="dxa" w:w="1949"/>
            <w:vAlign w:val="center"/>
          </w:tcPr>
          <w:p>
            <w:pPr>
              <w:spacing w:after="40"/>
            </w:pPr>
            <w:r>
              <w:rPr>
                <w:rFonts w:ascii="Noto Sans" w:hAnsi="Noto Sans" w:eastAsia="Noto Sans TC" w:cs="Noto Sans"/>
                <w:sz w:val="17"/>
              </w:rPr>
              <w:t>Perfilado entre sitios, publicidad de redirección, publicidad basada en intereses</w:t>
            </w:r>
          </w:p>
        </w:tc>
        <w:tc>
          <w:tcPr>
            <w:tcW w:type="dxa" w:w="1949"/>
            <w:vAlign w:val="center"/>
          </w:tcPr>
          <w:p>
            <w:pPr>
              <w:spacing w:after="40"/>
            </w:pPr>
            <w:r>
              <w:rPr>
                <w:rFonts w:ascii="Noto Sans" w:hAnsi="Noto Sans" w:eastAsia="Noto Sans TC" w:cs="Noto Sans"/>
                <w:sz w:val="17"/>
              </w:rPr>
              <w:t>Actualmente no en uso</w:t>
            </w:r>
          </w:p>
        </w:tc>
        <w:tc>
          <w:tcPr>
            <w:tcW w:type="dxa" w:w="1949"/>
            <w:vAlign w:val="center"/>
          </w:tcPr>
          <w:p>
            <w:pPr>
              <w:spacing w:after="40"/>
            </w:pPr>
            <w:r>
              <w:rPr>
                <w:rFonts w:ascii="Noto Sans" w:hAnsi="Noto Sans" w:eastAsia="Noto Sans TC" w:cs="Noto Sans"/>
                <w:sz w:val="17"/>
              </w:rPr>
              <w:t>No aplica</w:t>
            </w:r>
          </w:p>
        </w:tc>
        <w:tc>
          <w:tcPr>
            <w:tcW w:type="dxa" w:w="1949"/>
            <w:vAlign w:val="center"/>
          </w:tcPr>
          <w:p>
            <w:pPr>
              <w:spacing w:after="40"/>
            </w:pPr>
            <w:r>
              <w:rPr>
                <w:rFonts w:ascii="Noto Sans" w:hAnsi="Noto Sans" w:eastAsia="Noto Sans TC" w:cs="Noto Sans"/>
                <w:sz w:val="17"/>
              </w:rPr>
              <w:t>Actualmente no se utilizan este tipo de cookies</w:t>
            </w:r>
          </w:p>
        </w:tc>
      </w:tr>
      <w:tr>
        <w:trPr>
          <w:cantSplit/>
        </w:trPr>
        <w:tc>
          <w:tcPr>
            <w:tcW w:type="dxa" w:w="1949"/>
            <w:vAlign w:val="center"/>
          </w:tcPr>
          <w:p>
            <w:pPr>
              <w:spacing w:after="40"/>
            </w:pPr>
            <w:r>
              <w:rPr>
                <w:rFonts w:ascii="Noto Sans" w:hAnsi="Noto Sans" w:eastAsia="Noto Sans TC" w:cs="Noto Sans"/>
                <w:sz w:val="17"/>
              </w:rPr>
              <w:t>Redes sociales / contenido incrustado</w:t>
            </w:r>
          </w:p>
        </w:tc>
        <w:tc>
          <w:tcPr>
            <w:tcW w:type="dxa" w:w="1949"/>
            <w:vAlign w:val="center"/>
          </w:tcPr>
          <w:p>
            <w:pPr>
              <w:spacing w:after="40"/>
            </w:pPr>
            <w:r>
              <w:rPr>
                <w:rFonts w:ascii="Noto Sans" w:hAnsi="Noto Sans" w:eastAsia="Noto Sans TC" w:cs="Noto Sans"/>
                <w:sz w:val="17"/>
              </w:rPr>
              <w:t>Los videos incrustados, los botones de compartir en redes sociales y los componentes de terceros pueden desencadenar cookies de terceros</w:t>
            </w:r>
          </w:p>
        </w:tc>
        <w:tc>
          <w:tcPr>
            <w:tcW w:type="dxa" w:w="1949"/>
            <w:vAlign w:val="center"/>
          </w:tcPr>
          <w:p>
            <w:pPr>
              <w:spacing w:after="40"/>
            </w:pPr>
            <w:r>
              <w:rPr>
                <w:rFonts w:ascii="Noto Sans" w:hAnsi="Noto Sans" w:eastAsia="Noto Sans TC" w:cs="Noto Sans"/>
                <w:sz w:val="17"/>
              </w:rPr>
              <w:t>La preferencia predeterminada es para enlaces externos estándar; si se introduce la incrustación en el futuro, se realizará una evaluación separada</w:t>
            </w:r>
          </w:p>
        </w:tc>
        <w:tc>
          <w:tcPr>
            <w:tcW w:type="dxa" w:w="1949"/>
            <w:vAlign w:val="center"/>
          </w:tcPr>
          <w:p>
            <w:pPr>
              <w:spacing w:after="40"/>
            </w:pPr>
            <w:r>
              <w:rPr>
                <w:rFonts w:ascii="Noto Sans" w:hAnsi="Noto Sans" w:eastAsia="Noto Sans TC" w:cs="Noto Sans"/>
                <w:sz w:val="17"/>
              </w:rPr>
              <w:t>Depende de los servicios de terceros y los requisitos legales</w:t>
            </w:r>
          </w:p>
        </w:tc>
        <w:tc>
          <w:tcPr>
            <w:tcW w:type="dxa" w:w="1949"/>
            <w:vAlign w:val="center"/>
          </w:tcPr>
          <w:p>
            <w:pPr>
              <w:spacing w:after="40"/>
            </w:pPr>
            <w:r>
              <w:rPr>
                <w:rFonts w:ascii="Noto Sans" w:hAnsi="Noto Sans" w:eastAsia="Noto Sans TC" w:cs="Noto Sans"/>
                <w:sz w:val="17"/>
              </w:rPr>
              <w:t>Las decisiones las toman los terceros relevantes y se proporcionarán avisos o consentimientos apropiados donde lo exija la ley</w:t>
            </w:r>
          </w:p>
        </w:tc>
      </w:tr>
    </w:tbl>
    <w:p>
      <w:pPr>
        <w:spacing w:after="40"/>
      </w:pPr>
    </w:p>
    <w:p>
      <w:pPr>
        <w:pStyle w:val="Heading1"/>
        <w:keepLines w:val="0"/>
      </w:pPr>
      <w:r>
        <w:rPr>
          <w:rFonts w:ascii="Noto Sans" w:hAnsi="Noto Sans" w:eastAsia="Noto Sans TC" w:cs="Noto Sans"/>
          <w:b w:val="0"/>
        </w:rPr>
        <w:t>4. Cookies estrictamente necesarias y de seguridad</w:t>
      </w:r>
    </w:p>
    <w:p>
      <w:pPr>
        <w:keepLines w:val="0"/>
      </w:pPr>
      <w:r>
        <w:rPr>
          <w:rFonts w:ascii="Noto Sans" w:hAnsi="Noto Sans" w:eastAsia="Noto Sans TC" w:cs="Noto Sans"/>
          <w:b w:val="0"/>
        </w:rPr>
        <w:t>Estas cookies/tecnologías similares se utilizan para proporcionar funcionalidades básicas que solicita activamente o para proteger la seguridad del sitio web, la cuenta y las transacciones. Si se bloquean completamente, las funciones esenciales del sitio web pueden no funcionar correctamente. Usos comunes incluyen:</w:t>
      </w:r>
    </w:p>
    <w:p>
      <w:pPr>
        <w:pStyle w:val="ListBullet"/>
        <w:keepLines w:val="0"/>
      </w:pPr>
      <w:r>
        <w:rPr>
          <w:rFonts w:ascii="Noto Sans" w:hAnsi="Noto Sans" w:eastAsia="Noto Sans TC" w:cs="Noto Sans"/>
          <w:b w:val="0"/>
        </w:rPr>
        <w:t>Identificar sesiones iniciadas, permitiendo que la cuenta de juego DAWNBLOOM inicie sesión en el sitio web oficial y en la DAWNBLOOM Community;</w:t>
      </w:r>
    </w:p>
    <w:p>
      <w:pPr>
        <w:pStyle w:val="ListBullet"/>
        <w:keepLines w:val="0"/>
      </w:pPr>
      <w:r>
        <w:rPr>
          <w:rFonts w:ascii="Noto Sans" w:hAnsi="Noto Sans" w:eastAsia="Noto Sans TC" w:cs="Noto Sans"/>
          <w:b w:val="0"/>
        </w:rPr>
        <w:t>Prevenir la falsificación de solicitudes entre sitios, envíos duplicados, abuso automatizado, intentos de inicio de sesión por fuerza bruta y otras amenazas de seguridad;</w:t>
      </w:r>
    </w:p>
    <w:p>
      <w:pPr>
        <w:pStyle w:val="ListBullet"/>
        <w:keepLines w:val="0"/>
      </w:pPr>
      <w:r>
        <w:rPr>
          <w:rFonts w:ascii="Noto Sans" w:hAnsi="Noto Sans" w:eastAsia="Noto Sans TC" w:cs="Noto Sans"/>
          <w:b w:val="0"/>
        </w:rPr>
        <w:t>Antes de que estén disponibles las transacciones de la tienda, cualquier nuevo almacenamiento del estado del pedido se añadirá a esta política y la lista real; no se presenta como actualmente utilizado.</w:t>
      </w:r>
    </w:p>
    <w:p>
      <w:pPr>
        <w:pStyle w:val="ListBullet"/>
        <w:keepLines w:val="0"/>
      </w:pPr>
      <w:r>
        <w:rPr>
          <w:rFonts w:ascii="Noto Sans" w:hAnsi="Noto Sans" w:eastAsia="Noto Sans TC" w:cs="Noto Sans"/>
          <w:b w:val="0"/>
        </w:rPr>
        <w:t>Mantener los estados de sesión requeridos en foros, centros de cuentas y formularios de atención al cliente;</w:t>
      </w:r>
    </w:p>
    <w:p>
      <w:pPr>
        <w:pStyle w:val="ListBullet"/>
        <w:keepLines w:val="0"/>
      </w:pPr>
      <w:r>
        <w:rPr>
          <w:rFonts w:ascii="Noto Sans" w:hAnsi="Noto Sans" w:eastAsia="Noto Sans TC" w:cs="Noto Sans"/>
          <w:b w:val="0"/>
        </w:rPr>
        <w:t>Registrar la finalización de desafíos de seguridad esenciales o pasos de verificación humana para reducir las solicitudes de verificación repetidas.</w:t>
      </w:r>
    </w:p>
    <w:p>
      <w:pPr>
        <w:keepLines w:val="0"/>
      </w:pPr>
      <w:r>
        <w:rPr>
          <w:rFonts w:ascii="Noto Sans" w:hAnsi="Noto Sans" w:eastAsia="Noto Sans TC" w:cs="Noto Sans"/>
          <w:b w:val="0"/>
        </w:rPr>
        <w:t>DAWNBLOOM utiliza Cloudflare para el DNS/CDN y la seguridad del sitio web. Si se establece realmente una cookie de seguridad de Cloudflare depende de la visita y la protección habilitada; consulte el registro del navegador para esa visita.</w:t>
      </w:r>
    </w:p>
    <w:p>
      <w:pPr>
        <w:pStyle w:val="Heading1"/>
        <w:keepLines w:val="0"/>
      </w:pPr>
      <w:r>
        <w:rPr>
          <w:rFonts w:ascii="Noto Sans" w:hAnsi="Noto Sans" w:eastAsia="Noto Sans TC" w:cs="Noto Sans"/>
          <w:b w:val="0"/>
        </w:rPr>
        <w:t>5. Tecnologías de idioma y preferencias</w:t>
      </w:r>
    </w:p>
    <w:p>
      <w:pPr>
        <w:keepLines w:val="0"/>
      </w:pPr>
      <w:r>
        <w:rPr>
          <w:rFonts w:ascii="Noto Sans" w:hAnsi="Noto Sans" w:eastAsia="Noto Sans TC" w:cs="Noto Sans"/>
          <w:b w:val="0"/>
        </w:rPr>
        <w:t>El sitio web DAWNBLOOM ofrece 20 idiomas de interfaz. Cuando eliges un idioma, el sitio web utiliza la entrada de almacenamiento local de primera parte zg-locale para recordar tu elección para tu próxima visita. Esta entrada no se utiliza para la creación de perfiles publicitarios.</w:t>
      </w:r>
    </w:p>
    <w:p>
      <w:pPr>
        <w:keepLines w:val="0"/>
      </w:pPr>
      <w:r>
        <w:rPr>
          <w:rFonts w:ascii="Noto Sans" w:hAnsi="Noto Sans" w:eastAsia="Noto Sans TC" w:cs="Noto Sans"/>
          <w:b w:val="0"/>
        </w:rPr>
        <w:t>La preferencia de silencio del minijuego se guarda en Local Storage, mientras que la posición de la música se guarda en el Session Storage de la pestaña actual. Borrar estos elementos puede restablecer la preferencia o la posición.</w:t>
      </w:r>
    </w:p>
    <w:p>
      <w:pPr>
        <w:pStyle w:val="Heading1"/>
        <w:keepLines w:val="0"/>
      </w:pPr>
      <w:r>
        <w:rPr>
          <w:rFonts w:ascii="Noto Sans" w:hAnsi="Noto Sans" w:eastAsia="Noto Sans TC" w:cs="Noto Sans"/>
          <w:b w:val="0"/>
        </w:rPr>
        <w:t>6. Lo que actualmente no hacemos</w:t>
      </w:r>
    </w:p>
    <w:p>
      <w:pPr>
        <w:pStyle w:val="ListBullet"/>
        <w:keepLines w:val="0"/>
      </w:pPr>
      <w:r>
        <w:rPr>
          <w:rFonts w:ascii="Noto Sans" w:hAnsi="Noto Sans" w:eastAsia="Noto Sans TC" w:cs="Noto Sans"/>
          <w:b w:val="0"/>
        </w:rPr>
        <w:t>No servimos publicidad conductual de terceros en el sitio web oficial ni en el juego;</w:t>
      </w:r>
    </w:p>
    <w:p>
      <w:pPr>
        <w:pStyle w:val="ListBullet"/>
        <w:keepLines w:val="0"/>
      </w:pPr>
      <w:r>
        <w:rPr>
          <w:rFonts w:ascii="Noto Sans" w:hAnsi="Noto Sans" w:eastAsia="Noto Sans TC" w:cs="Noto Sans"/>
          <w:b w:val="0"/>
        </w:rPr>
        <w:t>No utilizamos herramientas de análisis de marketing de terceros como Meta Pixel o Google Analytics;</w:t>
      </w:r>
    </w:p>
    <w:p>
      <w:pPr>
        <w:pStyle w:val="ListBullet"/>
        <w:keepLines w:val="0"/>
      </w:pPr>
      <w:r>
        <w:rPr>
          <w:rFonts w:ascii="Noto Sans" w:hAnsi="Noto Sans" w:eastAsia="Noto Sans TC" w:cs="Noto Sans"/>
          <w:b w:val="0"/>
        </w:rPr>
        <w:t>No utilizamos cookies para construir perfiles publicitarios entre sitios;</w:t>
      </w:r>
    </w:p>
    <w:p>
      <w:pPr>
        <w:pStyle w:val="ListBullet"/>
        <w:keepLines w:val="0"/>
      </w:pPr>
      <w:r>
        <w:rPr>
          <w:rFonts w:ascii="Noto Sans" w:hAnsi="Noto Sans" w:eastAsia="Noto Sans TC" w:cs="Noto Sans"/>
          <w:b w:val="0"/>
        </w:rPr>
        <w:t>No vendemos identificadores de cookies ni información personalmente identificable derivada de ellos;</w:t>
      </w:r>
    </w:p>
    <w:p>
      <w:pPr>
        <w:pStyle w:val="ListBullet"/>
        <w:keepLines w:val="0"/>
      </w:pPr>
      <w:r>
        <w:rPr>
          <w:rFonts w:ascii="Noto Sans" w:hAnsi="Noto Sans" w:eastAsia="Noto Sans TC" w:cs="Noto Sans"/>
          <w:b w:val="0"/>
        </w:rPr>
        <w:t>La información personal no se compartirá para publicidad conductual entre contextos;</w:t>
      </w:r>
    </w:p>
    <w:p>
      <w:pPr>
        <w:pStyle w:val="ListBullet"/>
        <w:keepLines w:val="0"/>
      </w:pPr>
      <w:r>
        <w:rPr>
          <w:rFonts w:ascii="Noto Sans" w:hAnsi="Noto Sans" w:eastAsia="Noto Sans TC" w:cs="Noto Sans"/>
          <w:b w:val="0"/>
        </w:rPr>
        <w:t>No se negará ningún servicio proporcionado bajo o en conexión con la Cookie a un usuario por rechazar Cookies futuras no esenciales, siempre que dicho servicio sea independiente de la Cookie en cuestión.</w:t>
      </w:r>
    </w:p>
    <w:p>
      <w:pPr>
        <w:keepLines w:val="0"/>
      </w:pPr>
      <w:r>
        <w:rPr>
          <w:rFonts w:ascii="Noto Sans" w:hAnsi="Noto Sans" w:eastAsia="Noto Sans TC" w:cs="Noto Sans"/>
          <w:b w:val="0"/>
        </w:rPr>
        <w:t>Si los requisitos futuros del producto cambian y planeamos agregar funciones como análisis, publicidad, pruebas A/B, SDKs de marketing de terceros u otras tecnologías de seguimiento no esenciales, realizaremos una nueva evaluación de cumplimiento antes de habilitar dichas funciones, actualizaremos esta Política y la Política de privacidad en consecuencia, y proporcionaremos un mecanismo destacado de consentimiento expreso, rechazo o retirada según lo requiera la ley.</w:t>
      </w:r>
    </w:p>
    <w:p>
      <w:pPr>
        <w:pStyle w:val="Heading1"/>
        <w:keepLines w:val="0"/>
      </w:pPr>
      <w:r>
        <w:rPr>
          <w:rFonts w:ascii="Noto Sans" w:hAnsi="Noto Sans" w:eastAsia="Noto Sans TC" w:cs="Noto Sans"/>
          <w:b w:val="0"/>
        </w:rPr>
        <w:t>7. Inicio de sesión de terceros, pagos y páginas externas</w:t>
      </w:r>
    </w:p>
    <w:p>
      <w:pPr>
        <w:keepLines w:val="0"/>
      </w:pPr>
      <w:r>
        <w:rPr>
          <w:rFonts w:ascii="Noto Sans" w:hAnsi="Noto Sans" w:eastAsia="Noto Sans TC" w:cs="Noto Sans"/>
          <w:b w:val="0"/>
        </w:rPr>
        <w:t>Cuando eliga opciones de inicio de sesión de terceros como Apple, Steam o WeChat, o use métodos de pago como WeChat Pay, Alipay, UnionPay, Visa, Mastercard, Apple Pay u otros sistemas de pago de terceros, es posible que sea redirigido a páginas de terceros o interactúe con componentes controlados por terceros. Estos terceros pueden utilizar cookies, información del dispositivo u otras tecnologías, de acuerdo con sus propias reglas, para realizar autenticación, verificación de seguridad y procesamiento de pagos.</w:t>
      </w:r>
    </w:p>
    <w:p>
      <w:pPr>
        <w:keepLines w:val="0"/>
      </w:pPr>
      <w:r>
        <w:rPr>
          <w:rFonts w:ascii="Noto Sans" w:hAnsi="Noto Sans" w:eastAsia="Noto Sans TC" w:cs="Noto Sans"/>
          <w:b w:val="0"/>
        </w:rPr>
        <w:t>Después de seguir un enlace oficial a la Apple App Store, Google Play, Steam u otra tienda identificada, esa tienda puede utilizar cookies bajo su propia política. Los sitios web de terceros visitados en el Navegador y los proveedores conectados a Mail también controlan sus propios datos de sitio.</w:t>
      </w:r>
    </w:p>
    <w:p>
      <w:pPr>
        <w:keepLines w:val="0"/>
      </w:pPr>
      <w:r>
        <w:rPr>
          <w:rFonts w:ascii="Noto Sans" w:hAnsi="Noto Sans" w:eastAsia="Noto Sans TC" w:cs="Noto Sans"/>
          <w:b w:val="0"/>
        </w:rPr>
        <w:t>No afirmaremos que las cookies de terceros constituyan cookies de primera parte de DAWNBLOOM, ni controlaremos ninguna actividad de procesamiento de datos realizada por dichos terceros en sus servicios independientes. Consulte la Política de privacidad y el Aviso sobre Cookies/Tecnologías de Seguimiento del respectivo proveedor de servicios para obtener detalles sobre dicho procesamiento.</w:t>
      </w:r>
    </w:p>
    <w:p>
      <w:pPr>
        <w:pStyle w:val="Heading1"/>
        <w:keepLines w:val="0"/>
      </w:pPr>
      <w:r>
        <w:rPr>
          <w:rFonts w:ascii="Noto Sans" w:hAnsi="Noto Sans" w:eastAsia="Noto Sans TC" w:cs="Noto Sans"/>
          <w:b w:val="0"/>
        </w:rPr>
        <w:t>8. Sus preferencias de cookies</w:t>
      </w:r>
    </w:p>
    <w:p>
      <w:pPr>
        <w:keepLines w:val="0"/>
      </w:pPr>
      <w:r>
        <w:rPr>
          <w:rFonts w:ascii="Noto Sans" w:hAnsi="Noto Sans" w:eastAsia="Noto Sans TC" w:cs="Noto Sans"/>
          <w:b w:val="0"/>
        </w:rPr>
        <w:t>Puede ver, eliminar, bloquear o restringir las Cookies a través de la configuración de su navegador. La entrada específica y la terminología pueden variar según el navegador y deben confirmarse según la documentación de ayuda propia del navegador.</w:t>
      </w:r>
    </w:p>
    <w:p>
      <w:pPr>
        <w:pStyle w:val="ListBullet"/>
        <w:keepLines w:val="0"/>
      </w:pPr>
      <w:r>
        <w:rPr>
          <w:rFonts w:ascii="Noto Sans" w:hAnsi="Noto Sans" w:eastAsia="Noto Sans TC" w:cs="Noto Sans"/>
          <w:b w:val="0"/>
        </w:rPr>
        <w:t>Eliminar las Cookies de inicio de sesión puede resultar en el cierre de sesión inmediato de la cuenta;</w:t>
      </w:r>
    </w:p>
    <w:p>
      <w:pPr>
        <w:pStyle w:val="ListBullet"/>
        <w:keepLines w:val="0"/>
      </w:pPr>
      <w:r>
        <w:rPr>
          <w:rFonts w:ascii="Noto Sans" w:hAnsi="Noto Sans" w:eastAsia="Noto Sans TC" w:cs="Noto Sans"/>
          <w:b w:val="0"/>
        </w:rPr>
        <w:t>Desactivar las Cookies estrictamente necesarias puede resultar en fallos de inicio de sesión, incapacidad para publicar contenido normalmente, interrupciones en el flujo de transacciones o desafíos de seguridad repetidos;</w:t>
      </w:r>
    </w:p>
    <w:p>
      <w:pPr>
        <w:pStyle w:val="ListBullet"/>
        <w:keepLines w:val="0"/>
      </w:pPr>
      <w:r>
        <w:rPr>
          <w:rFonts w:ascii="Noto Sans" w:hAnsi="Noto Sans" w:eastAsia="Noto Sans TC" w:cs="Noto Sans"/>
          <w:b w:val="0"/>
        </w:rPr>
        <w:t>Eliminar las preferencias de idioma puede hacer que el sitio web oficial vuelva a su idioma predeterminado;</w:t>
      </w:r>
    </w:p>
    <w:p>
      <w:pPr>
        <w:pStyle w:val="ListBullet"/>
        <w:keepLines w:val="0"/>
      </w:pPr>
      <w:r>
        <w:rPr>
          <w:rFonts w:ascii="Noto Sans" w:hAnsi="Noto Sans" w:eastAsia="Noto Sans TC" w:cs="Noto Sans"/>
          <w:b w:val="0"/>
        </w:rPr>
        <w:t>El «navegación privada» o «modo incógnito» de un navegador generalmente borra ciertos datos almacenados después de que finaliza la sesión, aunque el comportamiento exacto lo determina el propio navegador.</w:t>
      </w:r>
    </w:p>
    <w:p>
      <w:pPr>
        <w:keepLines w:val="0"/>
      </w:pPr>
      <w:r>
        <w:rPr>
          <w:rFonts w:ascii="Noto Sans" w:hAnsi="Noto Sans" w:eastAsia="Noto Sans TC" w:cs="Noto Sans"/>
          <w:b w:val="0"/>
        </w:rPr>
        <w:t>Si habilitamos cookies no esenciales que requieren consentimiento previo en el futuro, los usuarios podrán tomar decisiones a través de la interfaz de Configuración de Cookies en los escenarios aplicables, y podrán retirar dichas decisiones más adelante. Sin embargo, la retirada del consentimiento no afectará a ningún procesamiento previo realizado sobre bases legales válidas.</w:t>
      </w:r>
    </w:p>
    <w:p>
      <w:pPr>
        <w:pStyle w:val="Heading1"/>
        <w:keepLines w:val="0"/>
      </w:pPr>
      <w:r>
        <w:rPr>
          <w:rFonts w:ascii="Noto Sans" w:hAnsi="Noto Sans" w:eastAsia="Noto Sans TC" w:cs="Noto Sans"/>
          <w:b w:val="0"/>
        </w:rPr>
        <w:t>9. Explicación de la región continental de China</w:t>
      </w:r>
    </w:p>
    <w:p>
      <w:pPr>
        <w:keepLines w:val="0"/>
      </w:pPr>
      <w:r>
        <w:rPr>
          <w:rFonts w:ascii="Noto Sans" w:hAnsi="Noto Sans" w:eastAsia="Noto Sans TC" w:cs="Noto Sans"/>
          <w:b w:val="0"/>
        </w:rPr>
        <w:t>Para usuarios en China continental, manejaremos la información generada a través de Cookies o tecnologías similares que puedan vincularse o asociarse con personas naturales identificadas o identificables, de acuerdo con regulaciones como la Ley de Protección de Información Personal de la República Popular China y los Reglamentos de Gestión de Seguridad de Datos de Red. Adherimos a los principios de legalidad, equidad, necesidad, integridad, propósito claro y mínimo requisito de datos, y divulgamos públicamente los propósitos, métodos, tipos y reglas de retención para dicho procesamiento.</w:t>
      </w:r>
    </w:p>
    <w:p>
      <w:pPr>
        <w:keepLines w:val="0"/>
      </w:pPr>
      <w:r>
        <w:rPr>
          <w:rFonts w:ascii="Noto Sans" w:hAnsi="Noto Sans" w:eastAsia="Noto Sans TC" w:cs="Noto Sans"/>
          <w:b w:val="0"/>
        </w:rPr>
        <w:t>Para fines técnicos necesarios para cumplir con su relación con nuestros servicios, como inicio de sesión, seguridad de la cuenta y procesamiento de pedidos, podemos procesar Cookies o tecnologías similares basados en obligaciones contractuales o deberes legales permitidos por las leyes aplicables; si una Cookie o tecnología similar requiere su consentimiento previo según la ley aplicable, obtendremos dicho consentimiento después de proporcionar un aviso completo y también le proporcionaremos un mecanismo para retirar dicho consentimiento.</w:t>
      </w:r>
    </w:p>
    <w:p>
      <w:pPr>
        <w:keepLines w:val="0"/>
      </w:pPr>
      <w:r>
        <w:rPr>
          <w:rFonts w:ascii="Noto Sans" w:hAnsi="Noto Sans" w:eastAsia="Noto Sans TC" w:cs="Noto Sans"/>
          <w:b w:val="0"/>
        </w:rPr>
        <w:t>Si posteriormente proporcionamos identificadores de cookies o datos conductuales a un tercero con fines como la identificación independiente, el perfilado u otros usos, volveremos a evaluar los requisitos de previo aviso, consentimiento separado, delegación del tratamiento y transferencias transfronterizas antes de la implementación, y no nos basaremos únicamente en la autorización general contenida en estos Términos.</w:t>
      </w:r>
    </w:p>
    <w:p>
      <w:pPr>
        <w:pStyle w:val="Heading1"/>
        <w:keepLines w:val="0"/>
      </w:pPr>
      <w:r>
        <w:rPr>
          <w:rFonts w:ascii="Noto Sans" w:hAnsi="Noto Sans" w:eastAsia="Noto Sans TC" w:cs="Noto Sans"/>
          <w:b w:val="0"/>
        </w:rPr>
        <w:t>10. Explicación de la región de Estados Unidos</w:t>
      </w:r>
    </w:p>
    <w:p>
      <w:pPr>
        <w:keepLines w:val="0"/>
      </w:pPr>
      <w:r>
        <w:rPr>
          <w:rFonts w:ascii="Noto Sans" w:hAnsi="Noto Sans" w:eastAsia="Noto Sans TC" w:cs="Noto Sans"/>
          <w:b w:val="0"/>
        </w:rPr>
        <w:t>El marco de privacidad de EE. UU. está constituido conjuntamente por leyes federales y estatales. Si DAWNBLOOM alcanza los umbrales de aplicabilidad de la CCPA/CPRA de California u otras leyes de privacidad estatales en el futuro, proporcionaremos, conforme a la ley, derechos de acceso, corrección, eliminación y oposición según sea requerido.</w:t>
      </w:r>
    </w:p>
    <w:p>
      <w:pPr>
        <w:keepLines w:val="0"/>
      </w:pPr>
      <w:r>
        <w:rPr>
          <w:rFonts w:ascii="Noto Sans" w:hAnsi="Noto Sans" w:eastAsia="Noto Sans TC" w:cs="Noto Sans"/>
          <w:b w:val="0"/>
        </w:rPr>
        <w:t>Según el diseño actual del producto, DAWNBLOOM no vende información personal ni comparte información personal para publicidad entre contextos. Por lo tanto, no hay actividades actuales de "venta o compartición" basadas en cookies publicitarias. Si las prácticas futuras cambian, actualizaremos esta política y, cuando corresponda, proporcionaremos una entrada "Sus opciones de privacidad / No vender ni compartir" y reconoceremos señales de oposición legalmente válidas (por ejemplo, el Control de Privacidad Global, cuando corresponda).</w:t>
      </w:r>
    </w:p>
    <w:p>
      <w:pPr>
        <w:pStyle w:val="Heading1"/>
        <w:keepLines w:val="0"/>
      </w:pPr>
      <w:r>
        <w:rPr>
          <w:rFonts w:ascii="Noto Sans" w:hAnsi="Noto Sans" w:eastAsia="Noto Sans TC" w:cs="Noto Sans"/>
          <w:b w:val="0"/>
        </w:rPr>
        <w:t>11. Disposiciones específicas para Japón</w:t>
      </w:r>
    </w:p>
    <w:p>
      <w:pPr>
        <w:keepLines w:val="0"/>
      </w:pPr>
      <w:r>
        <w:rPr>
          <w:rFonts w:ascii="Noto Sans" w:hAnsi="Noto Sans" w:eastAsia="Noto Sans TC" w:cs="Noto Sans"/>
          <w:b w:val="0"/>
        </w:rPr>
        <w:t>Bajo la Ley de Protección de Información Personal de Japón (APPI), los identificadores de dispositivos como las cookies pueden caer dentro de la categoría de información referible a personas en ciertas circunstancias. Cuando pueden combinarse fácilmente con otra información para identificar a un individuo específico, también pueden ser tratados como información personal (personal information).</w:t>
      </w:r>
    </w:p>
    <w:p>
      <w:pPr>
        <w:keepLines w:val="0"/>
      </w:pPr>
      <w:r>
        <w:rPr>
          <w:rFonts w:ascii="Noto Sans" w:hAnsi="Noto Sans" w:eastAsia="Noto Sans TC" w:cs="Noto Sans"/>
          <w:b w:val="0"/>
        </w:rPr>
        <w:t>Actualmente, no proporcionamos identificadores de cookies a socios publicitarios para combinarlos con los datos personales que poseen y crear perfiles publicitarios. Si en el futuro proporcionamos información referible a personas a terceros y esperamos que el receptor la adquiera como datos personales, confirmaremos el consentimiento necesario del individuo y las condiciones relacionadas de acuerdo con las normas de la Comisión de Protección de Datos Personales de Japón. Si interviene un tercero extranjero, también evaluaremos los requisitos transfronterizos correspondientes.</w:t>
      </w:r>
    </w:p>
    <w:p>
      <w:pPr>
        <w:pStyle w:val="Heading1"/>
        <w:keepLines w:val="0"/>
      </w:pPr>
      <w:r>
        <w:rPr>
          <w:rFonts w:ascii="Noto Sans" w:hAnsi="Noto Sans" w:eastAsia="Noto Sans TC" w:cs="Noto Sans"/>
          <w:b w:val="0"/>
        </w:rPr>
        <w:t>12. Usuarios menores de 18 años</w:t>
      </w:r>
    </w:p>
    <w:p>
      <w:pPr>
        <w:keepLines w:val="0"/>
      </w:pPr>
      <w:r>
        <w:rPr>
          <w:rFonts w:ascii="Noto Sans" w:hAnsi="Noto Sans" w:eastAsia="Noto Sans TC" w:cs="Noto Sans"/>
          <w:b w:val="0"/>
        </w:rPr>
        <w:t>Las cuentas de juego de DAWNBLOOM, la comunidad de juegos y los servicios relacionados requieren actualmente que los usuarios tengan 18 años o más. Las páginas públicas y DAWNBLOOM Browser no comparten esa barrera universal de edad para juegos. No utilizamos cookies web o tecnologías similares para construir perfiles de marketing de menores; otros tratamientos concernientes a menores se evalúan conforme a la Política de privacidad y la ley aplicable.</w:t>
      </w:r>
    </w:p>
    <w:p>
      <w:pPr>
        <w:pStyle w:val="Heading1"/>
        <w:keepLines w:val="0"/>
      </w:pPr>
      <w:r>
        <w:rPr>
          <w:rFonts w:ascii="Noto Sans" w:hAnsi="Noto Sans" w:eastAsia="Noto Sans TC" w:cs="Noto Sans"/>
          <w:b w:val="0"/>
        </w:rPr>
        <w:t>13. Lista de Cookies y mecanismo de actualización</w:t>
      </w:r>
    </w:p>
    <w:p>
      <w:pPr>
        <w:keepLines w:val="0"/>
      </w:pPr>
      <w:r>
        <w:rPr>
          <w:rFonts w:ascii="Noto Sans" w:hAnsi="Noto Sans" w:eastAsia="Noto Sans TC" w:cs="Noto Sans"/>
          <w:b w:val="0"/>
        </w:rPr>
        <w:t>La siguiente lista cubre el almacenamiento del navegador de primera parte identificado en el sitio web actual y el código del servicio de cuentas. Los elementos reales varían según la página y la sesión. Los servicios de seguridad/CDN pueden establecer cookies adicionales necesarias según la visita; consulte el registro del navegador para esa visita. El almacenamiento para transacciones de tienda no disponibles no se incluye porque actualmente no se utiliza.</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Nombre y método</w:t>
            </w:r>
          </w:p>
        </w:tc>
        <w:tc>
          <w:tcPr>
            <w:tcW w:type="dxa" w:w="2436"/>
            <w:vAlign w:val="center"/>
            <w:shd w:fill="DCE8F7"/>
          </w:tcPr>
          <w:p>
            <w:pPr>
              <w:keepNext/>
              <w:spacing w:after="40"/>
            </w:pPr>
            <w:r>
              <w:rPr>
                <w:rFonts w:ascii="Noto Sans" w:hAnsi="Noto Sans" w:eastAsia="Noto Sans TC" w:cs="Noto Sans"/>
                <w:b/>
                <w:sz w:val="17"/>
              </w:rPr>
              <w:t>Proveedor y contexto</w:t>
            </w:r>
          </w:p>
        </w:tc>
        <w:tc>
          <w:tcPr>
            <w:tcW w:type="dxa" w:w="2436"/>
            <w:vAlign w:val="center"/>
            <w:shd w:fill="DCE8F7"/>
          </w:tcPr>
          <w:p>
            <w:pPr>
              <w:keepNext/>
              <w:spacing w:after="40"/>
            </w:pPr>
            <w:r>
              <w:rPr>
                <w:rFonts w:ascii="Noto Sans" w:hAnsi="Noto Sans" w:eastAsia="Noto Sans TC" w:cs="Noto Sans"/>
                <w:b/>
                <w:sz w:val="17"/>
              </w:rPr>
              <w:t>Propósito y categoría</w:t>
            </w:r>
          </w:p>
        </w:tc>
        <w:tc>
          <w:tcPr>
            <w:tcW w:type="dxa" w:w="2436"/>
            <w:vAlign w:val="center"/>
            <w:shd w:fill="DCE8F7"/>
          </w:tcPr>
          <w:p>
            <w:pPr>
              <w:keepNext/>
              <w:spacing w:after="40"/>
            </w:pPr>
            <w:r>
              <w:rPr>
                <w:rFonts w:ascii="Noto Sans" w:hAnsi="Noto Sans" w:eastAsia="Noto Sans TC" w:cs="Noto Sans"/>
                <w:b/>
                <w:sz w:val="17"/>
              </w:rPr>
              <w:t>Retención del navegador</w:t>
            </w:r>
          </w:p>
        </w:tc>
      </w:tr>
      <w:tr>
        <w:trPr>
          <w:cantSplit/>
        </w:trPr>
        <w:tc>
          <w:tcPr>
            <w:tcW w:type="dxa" w:w="2436"/>
            <w:vAlign w:val="center"/>
          </w:tcPr>
          <w:p>
            <w:pPr>
              <w:spacing w:after="40"/>
            </w:pPr>
            <w:r>
              <w:rPr>
                <w:rFonts w:ascii="Noto Sans" w:hAnsi="Noto Sans" w:eastAsia="Noto Sans TC" w:cs="Noto Sans"/>
                <w:sz w:val="17"/>
              </w:rPr>
              <w:t>zg-locale · Local Storage</w:t>
            </w:r>
          </w:p>
        </w:tc>
        <w:tc>
          <w:tcPr>
            <w:tcW w:type="dxa" w:w="2436"/>
            <w:vAlign w:val="center"/>
          </w:tcPr>
          <w:p>
            <w:pPr>
              <w:spacing w:after="40"/>
            </w:pPr>
            <w:r>
              <w:rPr>
                <w:rFonts w:ascii="Noto Sans" w:hAnsi="Noto Sans" w:eastAsia="Noto Sans TC" w:cs="Noto Sans"/>
                <w:sz w:val="17"/>
              </w:rPr>
              <w:t>Sitio web DAWNBLOOM · Selección de idioma/página de inicio</w:t>
            </w:r>
          </w:p>
        </w:tc>
        <w:tc>
          <w:tcPr>
            <w:tcW w:type="dxa" w:w="2436"/>
            <w:vAlign w:val="center"/>
          </w:tcPr>
          <w:p>
            <w:pPr>
              <w:spacing w:after="40"/>
            </w:pPr>
            <w:r>
              <w:rPr>
                <w:rFonts w:ascii="Noto Sans" w:hAnsi="Noto Sans" w:eastAsia="Noto Sans TC" w:cs="Noto Sans"/>
                <w:sz w:val="17"/>
              </w:rPr>
              <w:t>Recordar el idioma del sitio web; preferencia funcional</w:t>
            </w:r>
          </w:p>
        </w:tc>
        <w:tc>
          <w:tcPr>
            <w:tcW w:type="dxa" w:w="2436"/>
            <w:vAlign w:val="center"/>
          </w:tcPr>
          <w:p>
            <w:pPr>
              <w:spacing w:after="40"/>
            </w:pPr>
            <w:r>
              <w:rPr>
                <w:rFonts w:ascii="Noto Sans" w:hAnsi="Noto Sans" w:eastAsia="Noto Sans TC" w:cs="Noto Sans"/>
                <w:sz w:val="17"/>
              </w:rPr>
              <w:t>Hasta que el usuario lo borre o el código del sitio cambie</w:t>
            </w:r>
          </w:p>
        </w:tc>
      </w:tr>
      <w:tr>
        <w:trPr>
          <w:cantSplit/>
        </w:trPr>
        <w:tc>
          <w:tcPr>
            <w:tcW w:type="dxa" w:w="2436"/>
            <w:vAlign w:val="center"/>
          </w:tcPr>
          <w:p>
            <w:pPr>
              <w:spacing w:after="40"/>
            </w:pPr>
            <w:r>
              <w:rPr>
                <w:rFonts w:ascii="Noto Sans" w:hAnsi="Noto Sans" w:eastAsia="Noto Sans TC" w:cs="Noto Sans"/>
                <w:sz w:val="17"/>
              </w:rPr>
              <w:t>zg-community-csrf · Session Storage</w:t>
            </w:r>
          </w:p>
        </w:tc>
        <w:tc>
          <w:tcPr>
            <w:tcW w:type="dxa" w:w="2436"/>
            <w:vAlign w:val="center"/>
          </w:tcPr>
          <w:p>
            <w:pPr>
              <w:spacing w:after="40"/>
            </w:pPr>
            <w:r>
              <w:rPr>
                <w:rFonts w:ascii="Noto Sans" w:hAnsi="Noto Sans" w:eastAsia="Noto Sans TC" w:cs="Noto Sans"/>
                <w:sz w:val="17"/>
              </w:rPr>
              <w:t>DAWNBLOOM Community/recuperación de cuenta</w:t>
            </w:r>
          </w:p>
        </w:tc>
        <w:tc>
          <w:tcPr>
            <w:tcW w:type="dxa" w:w="2436"/>
            <w:vAlign w:val="center"/>
          </w:tcPr>
          <w:p>
            <w:pPr>
              <w:spacing w:after="40"/>
            </w:pPr>
            <w:r>
              <w:rPr>
                <w:rFonts w:ascii="Noto Sans" w:hAnsi="Noto Sans" w:eastAsia="Noto Sans TC" w:cs="Noto Sans"/>
                <w:sz w:val="17"/>
              </w:rPr>
              <w:t>Mantener un identificador de solicitud antifalsificación en la sesión; seguridad necesaria</w:t>
            </w:r>
          </w:p>
        </w:tc>
        <w:tc>
          <w:tcPr>
            <w:tcW w:type="dxa" w:w="2436"/>
            <w:vAlign w:val="center"/>
          </w:tcPr>
          <w:p>
            <w:pPr>
              <w:spacing w:after="40"/>
            </w:pPr>
            <w:r>
              <w:rPr>
                <w:rFonts w:ascii="Noto Sans" w:hAnsi="Noto Sans" w:eastAsia="Noto Sans TC" w:cs="Noto Sans"/>
                <w:sz w:val="17"/>
              </w:rPr>
              <w:t>Hasta que termine la sesión de la pestaña del navegador actual</w:t>
            </w:r>
          </w:p>
        </w:tc>
      </w:tr>
      <w:tr>
        <w:trPr>
          <w:cantSplit/>
        </w:trPr>
        <w:tc>
          <w:tcPr>
            <w:tcW w:type="dxa" w:w="2436"/>
            <w:vAlign w:val="center"/>
          </w:tcPr>
          <w:p>
            <w:pPr>
              <w:spacing w:after="40"/>
            </w:pPr>
            <w:r>
              <w:rPr>
                <w:rFonts w:ascii="Noto Sans" w:hAnsi="Noto Sans" w:eastAsia="Noto Sans TC" w:cs="Noto Sans"/>
                <w:sz w:val="17"/>
              </w:rPr>
              <w:t>dawnbloom_web_session / clw_community_session · Cookie</w:t>
            </w:r>
          </w:p>
        </w:tc>
        <w:tc>
          <w:tcPr>
            <w:tcW w:type="dxa" w:w="2436"/>
            <w:vAlign w:val="center"/>
          </w:tcPr>
          <w:p>
            <w:pPr>
              <w:spacing w:after="40"/>
            </w:pPr>
            <w:r>
              <w:rPr>
                <w:rFonts w:ascii="Noto Sans" w:hAnsi="Noto Sans" w:eastAsia="Noto Sans TC" w:cs="Noto Sans"/>
                <w:sz w:val="17"/>
              </w:rPr>
              <w:t>Servicio de cuentas DAWNBLOOM · después del inicio de sesión único</w:t>
            </w:r>
          </w:p>
        </w:tc>
        <w:tc>
          <w:tcPr>
            <w:tcW w:type="dxa" w:w="2436"/>
            <w:vAlign w:val="center"/>
          </w:tcPr>
          <w:p>
            <w:pPr>
              <w:spacing w:after="40"/>
            </w:pPr>
            <w:r>
              <w:rPr>
                <w:rFonts w:ascii="Noto Sans" w:hAnsi="Noto Sans" w:eastAsia="Noto Sans TC" w:cs="Noto Sans"/>
                <w:sz w:val="17"/>
              </w:rPr>
              <w:t>Mantener la cuenta y el inicio de sesión comunitario; función y seguridad necesarias. Secure, HttpOnly, SameSite=Strict</w:t>
            </w:r>
          </w:p>
        </w:tc>
        <w:tc>
          <w:tcPr>
            <w:tcW w:type="dxa" w:w="2436"/>
            <w:vAlign w:val="center"/>
          </w:tcPr>
          <w:p>
            <w:pPr>
              <w:spacing w:after="40"/>
            </w:pPr>
            <w:r>
              <w:rPr>
                <w:rFonts w:ascii="Noto Sans" w:hAnsi="Noto Sans" w:eastAsia="Noto Sans TC" w:cs="Noto Sans"/>
                <w:sz w:val="17"/>
              </w:rPr>
              <w:t>Cookies de sesión del navegador; las sesiones del lado del servidor tienen su propia caducidad</w:t>
            </w:r>
          </w:p>
        </w:tc>
      </w:tr>
      <w:tr>
        <w:trPr>
          <w:cantSplit/>
        </w:trPr>
        <w:tc>
          <w:tcPr>
            <w:tcW w:type="dxa" w:w="2436"/>
            <w:vAlign w:val="center"/>
          </w:tcPr>
          <w:p>
            <w:pPr>
              <w:spacing w:after="40"/>
            </w:pPr>
            <w:r>
              <w:rPr>
                <w:rFonts w:ascii="Noto Sans" w:hAnsi="Noto Sans" w:eastAsia="Noto Sans TC" w:cs="Noto Sans"/>
                <w:sz w:val="17"/>
              </w:rPr>
              <w:t>dawnbloom-minigame-muted · Local Storage</w:t>
            </w:r>
          </w:p>
        </w:tc>
        <w:tc>
          <w:tcPr>
            <w:tcW w:type="dxa" w:w="2436"/>
            <w:vAlign w:val="center"/>
          </w:tcPr>
          <w:p>
            <w:pPr>
              <w:spacing w:after="40"/>
            </w:pPr>
            <w:r>
              <w:rPr>
                <w:rFonts w:ascii="Noto Sans" w:hAnsi="Noto Sans" w:eastAsia="Noto Sans TC" w:cs="Noto Sans"/>
                <w:sz w:val="17"/>
              </w:rPr>
              <w:t>Mini-juegos de DAWNBLOOM</w:t>
            </w:r>
          </w:p>
        </w:tc>
        <w:tc>
          <w:tcPr>
            <w:tcW w:type="dxa" w:w="2436"/>
            <w:vAlign w:val="center"/>
          </w:tcPr>
          <w:p>
            <w:pPr>
              <w:spacing w:after="40"/>
            </w:pPr>
            <w:r>
              <w:rPr>
                <w:rFonts w:ascii="Noto Sans" w:hAnsi="Noto Sans" w:eastAsia="Noto Sans TC" w:cs="Noto Sans"/>
                <w:sz w:val="17"/>
              </w:rPr>
              <w:t>Recordar preferencia de silencio; funcional</w:t>
            </w:r>
          </w:p>
        </w:tc>
        <w:tc>
          <w:tcPr>
            <w:tcW w:type="dxa" w:w="2436"/>
            <w:vAlign w:val="center"/>
          </w:tcPr>
          <w:p>
            <w:pPr>
              <w:spacing w:after="40"/>
            </w:pPr>
            <w:r>
              <w:rPr>
                <w:rFonts w:ascii="Noto Sans" w:hAnsi="Noto Sans" w:eastAsia="Noto Sans TC" w:cs="Noto Sans"/>
                <w:sz w:val="17"/>
              </w:rPr>
              <w:t>Hasta que el usuario lo borre o el código del sitio cambie</w:t>
            </w:r>
          </w:p>
        </w:tc>
      </w:tr>
      <w:tr>
        <w:trPr>
          <w:cantSplit/>
        </w:trPr>
        <w:tc>
          <w:tcPr>
            <w:tcW w:type="dxa" w:w="2436"/>
            <w:vAlign w:val="center"/>
          </w:tcPr>
          <w:p>
            <w:pPr>
              <w:spacing w:after="40"/>
            </w:pPr>
            <w:r>
              <w:rPr>
                <w:rFonts w:ascii="Noto Sans" w:hAnsi="Noto Sans" w:eastAsia="Noto Sans TC" w:cs="Noto Sans"/>
                <w:sz w:val="17"/>
              </w:rPr>
              <w:t>Posición de música del mini-juego · Almacenamiento de sesión</w:t>
            </w:r>
          </w:p>
        </w:tc>
        <w:tc>
          <w:tcPr>
            <w:tcW w:type="dxa" w:w="2436"/>
            <w:vAlign w:val="center"/>
          </w:tcPr>
          <w:p>
            <w:pPr>
              <w:spacing w:after="40"/>
            </w:pPr>
            <w:r>
              <w:rPr>
                <w:rFonts w:ascii="Noto Sans" w:hAnsi="Noto Sans" w:eastAsia="Noto Sans TC" w:cs="Noto Sans"/>
                <w:sz w:val="17"/>
              </w:rPr>
              <w:t>Mini-juegos de DAWNBLOOM</w:t>
            </w:r>
          </w:p>
        </w:tc>
        <w:tc>
          <w:tcPr>
            <w:tcW w:type="dxa" w:w="2436"/>
            <w:vAlign w:val="center"/>
          </w:tcPr>
          <w:p>
            <w:pPr>
              <w:spacing w:after="40"/>
            </w:pPr>
            <w:r>
              <w:rPr>
                <w:rFonts w:ascii="Noto Sans" w:hAnsi="Noto Sans" w:eastAsia="Noto Sans TC" w:cs="Noto Sans"/>
                <w:sz w:val="17"/>
              </w:rPr>
              <w:t>Reanudar música dentro de la misma pestaña; funcional</w:t>
            </w:r>
          </w:p>
        </w:tc>
        <w:tc>
          <w:tcPr>
            <w:tcW w:type="dxa" w:w="2436"/>
            <w:vAlign w:val="center"/>
          </w:tcPr>
          <w:p>
            <w:pPr>
              <w:spacing w:after="40"/>
            </w:pPr>
            <w:r>
              <w:rPr>
                <w:rFonts w:ascii="Noto Sans" w:hAnsi="Noto Sans" w:eastAsia="Noto Sans TC" w:cs="Noto Sans"/>
                <w:sz w:val="17"/>
              </w:rPr>
              <w:t>Hasta que termine la sesión de la pestaña del navegador actual</w:t>
            </w:r>
          </w:p>
        </w:tc>
      </w:tr>
    </w:tbl>
    <w:p>
      <w:pPr>
        <w:spacing w:after="40"/>
      </w:pPr>
    </w:p>
    <w:p>
      <w:pPr>
        <w:keepLines w:val="0"/>
      </w:pPr>
      <w:r>
        <w:rPr>
          <w:rFonts w:ascii="Noto Sans" w:hAnsi="Noto Sans" w:eastAsia="Noto Sans TC" w:cs="Noto Sans"/>
          <w:b w:val="0"/>
        </w:rPr>
        <w:t>Las cookies de seguridad de Cloudflare y su duración dependen de la configuración de seguridad real y de la visita; el código fuente no puede establecer que aparezcan en cada visita. Cualquier nueva tecnología analítica o publicitaria no esencial requerirá primero una actualización de esta lista y las opciones aplicables.</w:t>
      </w:r>
    </w:p>
    <w:p>
      <w:pPr>
        <w:pStyle w:val="Heading1"/>
        <w:keepLines w:val="0"/>
      </w:pPr>
      <w:r>
        <w:rPr>
          <w:rFonts w:ascii="Noto Sans" w:hAnsi="Noto Sans" w:eastAsia="Noto Sans TC" w:cs="Noto Sans"/>
          <w:b w:val="0"/>
        </w:rPr>
        <w:t>14. Contáctenos</w:t>
      </w:r>
    </w:p>
    <w:p>
      <w:pPr>
        <w:keepLines w:val="0"/>
      </w:pPr>
      <w:r>
        <w:rPr>
          <w:rFonts w:ascii="Noto Sans" w:hAnsi="Noto Sans" w:eastAsia="Noto Sans TC" w:cs="Noto Sans"/>
          <w:b w:val="0"/>
        </w:rPr>
        <w:t>Si tiene preguntas sobre cookies, tecnologías similares o preferencias de privacidad, puede contactarnos a través de los siguientes canales:</w:t>
      </w:r>
    </w:p>
    <w:p>
      <w:pPr>
        <w:keepLines w:val="0"/>
      </w:pPr>
      <w:r>
        <w:rPr>
          <w:rFonts w:ascii="Noto Sans" w:hAnsi="Noto Sans" w:eastAsia="Noto Sans TC" w:cs="Noto Sans"/>
          <w:b w:val="0"/>
        </w:rPr>
        <w:t xml:space="preserve">Legal, derechos de autor y privacidad: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Soporte general para jugadores: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Sitio web oficial: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Operador / proveedor de servicios web: Shanghai Zhuiguang Zhichuang Cultural Media Co., Ltd. (nombre público en inglés: SHANGHAI LUMIREALM CREATIVE MEDIA CO., LTD.)</w:t>
      </w:r>
    </w:p>
    <w:p>
      <w:pPr>
        <w:keepLines w:val="0"/>
      </w:pPr>
      <w:r>
        <w:rPr>
          <w:rFonts w:ascii="Noto Sans" w:hAnsi="Noto Sans" w:eastAsia="Noto Sans TC" w:cs="Noto Sans"/>
          <w:b w:val="0"/>
        </w:rPr>
        <w:t>Dirección de operaciones / Dirección oficial de contacto: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Cookies y Tecnologías Similares de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