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Condiciones de uso de DAWNBLOOM AI</w:t>
      </w:r>
    </w:p>
    <w:p>
      <w:pPr>
        <w:keepLines w:val="0"/>
      </w:pPr>
      <w:r>
        <w:rPr>
          <w:rFonts w:ascii="Noto Sans" w:hAnsi="Noto Sans" w:eastAsia="Noto Sans TC" w:cs="Noto Sans"/>
          <w:b w:val="0"/>
        </w:rPr>
        <w:t>Versión: V8</w:t>
      </w:r>
    </w:p>
    <w:p>
      <w:pPr>
        <w:keepLines w:val="0"/>
      </w:pPr>
      <w:r>
        <w:rPr>
          <w:rFonts w:ascii="Noto Sans" w:hAnsi="Noto Sans" w:eastAsia="Noto Sans TC" w:cs="Noto Sans"/>
          <w:b w:val="0"/>
        </w:rPr>
        <w:t>Fecha de revisión: 10 de octubre de 2026</w:t>
      </w:r>
    </w:p>
    <w:p>
      <w:pPr>
        <w:keepLines w:val="0"/>
      </w:pPr>
      <w:r>
        <w:rPr>
          <w:rFonts w:ascii="Noto Sans" w:hAnsi="Noto Sans" w:eastAsia="Noto Sans TC" w:cs="Noto Sans"/>
          <w:b w:val="0"/>
        </w:rPr>
        <w:t>Fecha de entrada en vigor: 10 de octubre de 2026</w:t>
      </w:r>
    </w:p>
    <w:p>
      <w:pPr>
        <w:keepLines w:val="0"/>
      </w:pPr>
      <w:r>
        <w:rPr>
          <w:rFonts w:ascii="Noto Sans" w:hAnsi="Noto Sans" w:eastAsia="Noto Sans TC" w:cs="Noto Sans"/>
          <w:b w:val="0"/>
        </w:rPr>
        <w:t>Entidad prestadora: 上海追光智创文化传媒有限公司</w:t>
      </w:r>
    </w:p>
    <w:p>
      <w:pPr>
        <w:pStyle w:val="Heading1"/>
        <w:keepLines w:val="0"/>
      </w:pPr>
      <w:r>
        <w:rPr>
          <w:rFonts w:ascii="Noto Sans" w:hAnsi="Noto Sans" w:eastAsia="Noto Sans TC" w:cs="Noto Sans"/>
          <w:b w:val="0"/>
        </w:rPr>
        <w:t>1. Entidad prestadora, denominación y ámbito de aplicación</w:t>
      </w:r>
    </w:p>
    <w:p>
      <w:pPr>
        <w:keepLines w:val="0"/>
      </w:pPr>
      <w:r>
        <w:rPr>
          <w:rFonts w:ascii="Noto Sans" w:hAnsi="Noto Sans" w:eastAsia="Noto Sans TC" w:cs="Noto Sans"/>
          <w:b w:val="0"/>
        </w:rPr>
        <w:t>上海追光智创文化传媒有限公司 presta este servicio. DAWNBLOOM AI es la marca del sistema de interacción inteligente y de los servicios tecnológicos de nuestra empresa; DAWNBLOOM Fairy es el compañero inteligente y la representación interactiva de ese mismo sistema de servicios de cara a los usuarios. DAWNBLOOM AI 2.0 identifica la versión pública de dicho sistema de servicios inteligentes y no significa que nuestra empresa haya entrenado de forma independiente un modelo de lenguaje de gran tamaño de base. Estas condiciones se aplican conjuntamente con las Condiciones de servicio de DAWNBLOOM, la Política de privacidad, las Normas para jugadores y las demás políticas aplicables; regulan únicamente las cuestiones específicas de los servicios inteligentes y no reducen los derechos reconocidos por la ley.</w:t>
      </w:r>
    </w:p>
    <w:p>
      <w:pPr>
        <w:pStyle w:val="Heading1"/>
        <w:keepLines w:val="0"/>
      </w:pPr>
      <w:r>
        <w:rPr>
          <w:rFonts w:ascii="Noto Sans" w:hAnsi="Noto Sans" w:eastAsia="Noto Sans TC" w:cs="Noto Sans"/>
          <w:b w:val="0"/>
        </w:rPr>
        <w:t>2. Contenido del servicio y límites lingüísticos</w:t>
      </w:r>
    </w:p>
    <w:p>
      <w:pPr>
        <w:keepLines w:val="0"/>
      </w:pPr>
      <w:r>
        <w:rPr>
          <w:rFonts w:ascii="Noto Sans" w:hAnsi="Noto Sans" w:eastAsia="Noto Sans TC" w:cs="Noto Sans"/>
          <w:b w:val="0"/>
        </w:rPr>
        <w:t>El servicio se limita a consultas sobre conocimientos públicos del juego y de los productos, comunicación textual en lenguaje natural, orientación sobre servicios para jugadores y las capacidades de interfaz de Intelligent UI efectivamente habilitadas; los idiomas disponibles en el sitio web oficial no amplían los idiomas del cliente del juego ni los de cada uno de los seis productos de software. Actualmente no se ofrecen generación o edición de imágenes, creación de PDF, Word, diapositivas u hojas de cálculo, ni automatización ofimática de uso general. La versión del sitio web oficial se integra en el sistema de 20 idiomas de dicho sitio; dentro del juego se mantienen únicamente cuatro idiomas: chino, inglés, japonés y coreano. La compatibilidad con un idioma no implica que se ofrezca atención al cliente humana ni asesoramiento jurídico profesional en ese idioma.</w:t>
      </w:r>
    </w:p>
    <w:p>
      <w:pPr>
        <w:pStyle w:val="Heading1"/>
        <w:keepLines w:val="0"/>
      </w:pPr>
      <w:r>
        <w:rPr>
          <w:rFonts w:ascii="Noto Sans" w:hAnsi="Noto Sans" w:eastAsia="Noto Sans TC" w:cs="Noto Sans"/>
          <w:b w:val="0"/>
        </w:rPr>
        <w:t>3. Conocimientos públicos e información protegida</w:t>
      </w:r>
    </w:p>
    <w:p>
      <w:pPr>
        <w:keepLines w:val="0"/>
      </w:pPr>
      <w:r>
        <w:rPr>
          <w:rFonts w:ascii="Noto Sans" w:hAnsi="Noto Sans" w:eastAsia="Noto Sans TC" w:cs="Noto Sans"/>
          <w:b w:val="0"/>
        </w:rPr>
        <w:t>Las consultas se limitan a materiales del juego, de los productos y de atención al cliente cuya publicación esté autorizada. No se pone a disposición de los usuarios información no publicada sobre la trama, misiones, mapas, probabilidades, fórmulas, planificación interna, información de GM, medidas de seguridad ni materiales sobre explotación de vulnerabilidades. No se permite utilizar las consultas para extraer materiales protegidos.</w:t>
      </w:r>
    </w:p>
    <w:p>
      <w:pPr>
        <w:pStyle w:val="Heading1"/>
        <w:keepLines w:val="0"/>
      </w:pPr>
      <w:r>
        <w:rPr>
          <w:rFonts w:ascii="Noto Sans" w:hAnsi="Noto Sans" w:eastAsia="Noto Sans TC" w:cs="Noto Sans"/>
          <w:b w:val="0"/>
        </w:rPr>
        <w:t>4. Intelligent UI y confirmación del usuario</w:t>
      </w:r>
    </w:p>
    <w:p>
      <w:pPr>
        <w:keepLines w:val="0"/>
      </w:pPr>
      <w:r>
        <w:rPr>
          <w:rFonts w:ascii="Noto Sans" w:hAnsi="Noto Sans" w:eastAsia="Noto Sans TC" w:cs="Noto Sans"/>
          <w:b w:val="0"/>
        </w:rPr>
        <w:t>Intelligent UI combina las respuestas con fichas de información interactivas, accesos a funciones e interfaces de confirmación. La información sobre criaturas fantásticas, equipamiento, objetos, registros personales del juego y seguridad de la cuenta solo se facilita cuando la función está habilitada, el propio interesado ha otorgado una autorización legítima y el sistema de backend ha confirmado su identidad y los permisos correspondientes, y dentro de ese ámbito. La aparición de una respuesta de AI, una ficha o un botón no significa que se haya ejecutado una operación; las operaciones sensibles requieren verificación formal y las confirmaciones necesarias, y quedan sujetas al resultado del sistema. No se permite eludir el sistema de permisos para modificar datos de jugadores o consultar información no pública de otras personas. Los datos de demostración identificados expresamente como tales no son registros del propio usuario ni acreditan que una consulta u operación real se haya completado correctamente.</w:t>
      </w:r>
    </w:p>
    <w:p>
      <w:pPr>
        <w:pStyle w:val="Heading1"/>
        <w:keepLines w:val="0"/>
      </w:pPr>
      <w:r>
        <w:rPr>
          <w:rFonts w:ascii="Noto Sans" w:hAnsi="Noto Sans" w:eastAsia="Noto Sans TC" w:cs="Noto Sans"/>
          <w:b w:val="0"/>
        </w:rPr>
        <w:t>5. Exactitud de las respuestas y verificación de información importante</w:t>
      </w:r>
    </w:p>
    <w:p>
      <w:pPr>
        <w:keepLines w:val="0"/>
      </w:pPr>
      <w:r>
        <w:rPr>
          <w:rFonts w:ascii="Noto Sans" w:hAnsi="Noto Sans" w:eastAsia="Noto Sans TC" w:cs="Noto Sans"/>
          <w:b w:val="0"/>
        </w:rPr>
        <w:t xml:space="preserve">Las respuestas de AI pueden contener errores de comprensión, omisiones o información desactualizada y no sustituyen a los anuncios oficiales, las reglas del juego, las condiciones de productos y reembolsos, los registros verificados con autorización ni los resultados de una revisión humana. Los usuarios deben verificar de forma independiente la información importante y pueden comunicar errores o presentar reclamaciones a través de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las sugerencias de AI no modifican por sí mismas los derechos existentes de los usuarios ni las vías de recurso previstas por la ley. AI no emite decisiones definitivas sobre cuestiones jurídicas, médicas, financieras ni otras materias profesionales.</w:t>
      </w:r>
    </w:p>
    <w:p>
      <w:pPr>
        <w:pStyle w:val="Heading1"/>
        <w:keepLines w:val="0"/>
      </w:pPr>
      <w:r>
        <w:rPr>
          <w:rFonts w:ascii="Noto Sans" w:hAnsi="Noto Sans" w:eastAsia="Noto Sans TC" w:cs="Noto Sans"/>
          <w:b w:val="0"/>
        </w:rPr>
        <w:t>6. Derechos y responsabilidades sobre las entradas y salidas</w:t>
      </w:r>
    </w:p>
    <w:p>
      <w:pPr>
        <w:keepLines w:val="0"/>
      </w:pPr>
      <w:r>
        <w:rPr>
          <w:rFonts w:ascii="Noto Sans" w:hAnsi="Noto Sans" w:eastAsia="Noto Sans TC" w:cs="Noto Sans"/>
          <w:b w:val="0"/>
        </w:rPr>
        <w:t>Los usuarios deben estar facultados para aportar el contenido de entrada y no deben enviar información que vulnere derechos ajenos o sea ilícita. Los usuarios son responsables de la legalidad del uso y la difusión de las salidas, así como de las verificaciones necesarias. La generación de respuestas no supone que nuestra empresa conceda derechos sobre obras, marcas o datos personales de terceros; estas condiciones no excluyen los derechos que correspondan legalmente a los usuarios sobre las salidas ni otros derechos reconocidos por la ley.</w:t>
      </w:r>
    </w:p>
    <w:p>
      <w:pPr>
        <w:pStyle w:val="Heading1"/>
        <w:keepLines w:val="0"/>
      </w:pPr>
      <w:r>
        <w:rPr>
          <w:rFonts w:ascii="Noto Sans" w:hAnsi="Noto Sans" w:eastAsia="Noto Sans TC" w:cs="Noto Sans"/>
          <w:b w:val="0"/>
        </w:rPr>
        <w:t>7. Uso seguro y prohibición de usos abusivos</w:t>
      </w:r>
    </w:p>
    <w:p>
      <w:pPr>
        <w:keepLines w:val="0"/>
      </w:pPr>
      <w:r>
        <w:rPr>
          <w:rFonts w:ascii="Noto Sans" w:hAnsi="Noto Sans" w:eastAsia="Noto Sans TC" w:cs="Noto Sans"/>
          <w:b w:val="0"/>
        </w:rPr>
        <w:t>Se prohíben los ataques, las solicitudes masivas abusivas, la suplantación de identidad, la elusión de códigos de verificación o permisos, el envío de instrucciones maliciosas, la sustracción de contenido no público y la creación de falsos compromisos oficiales. No facilite contraseñas, códigos completos de verificación de un solo uso, contraseñas de pago, tokens ni otra información sensible innecesaria.</w:t>
      </w:r>
    </w:p>
    <w:p>
      <w:pPr>
        <w:pStyle w:val="Heading1"/>
        <w:keepLines w:val="0"/>
      </w:pPr>
      <w:r>
        <w:rPr>
          <w:rFonts w:ascii="Noto Sans" w:hAnsi="Noto Sans" w:eastAsia="Noto Sans TC" w:cs="Noto Sans"/>
          <w:b w:val="0"/>
        </w:rPr>
        <w:t>8. Datos de la cuenta y operaciones del juego</w:t>
      </w:r>
    </w:p>
    <w:p>
      <w:pPr>
        <w:keepLines w:val="0"/>
      </w:pPr>
      <w:r>
        <w:rPr>
          <w:rFonts w:ascii="Noto Sans" w:hAnsi="Noto Sans" w:eastAsia="Noto Sans TC" w:cs="Noto Sans"/>
          <w:b w:val="0"/>
        </w:rPr>
        <w:t>Las criaturas fantásticas, el equipamiento, los objetos, los activos y los registros personales solo pueden consultarse dentro del ámbito de la autorización legítima del propio interesado y de la verificación del backend. AI no obtiene permisos de GM ni modifica directamente activos, sanciones o mecánicas oficiales del juego; las restauraciones, controversias y reclamaciones se verifican mediante los procedimientos oficiales.</w:t>
      </w:r>
    </w:p>
    <w:p>
      <w:pPr>
        <w:pStyle w:val="Heading1"/>
        <w:keepLines w:val="0"/>
      </w:pPr>
      <w:r>
        <w:rPr>
          <w:rFonts w:ascii="Noto Sans" w:hAnsi="Noto Sans" w:eastAsia="Noto Sans TC" w:cs="Noto Sans"/>
          <w:b w:val="0"/>
        </w:rPr>
        <w:t>9. Menores de edad</w:t>
      </w:r>
    </w:p>
    <w:p>
      <w:pPr>
        <w:keepLines w:val="0"/>
      </w:pPr>
      <w:r>
        <w:rPr>
          <w:rFonts w:ascii="Noto Sans" w:hAnsi="Noto Sans" w:eastAsia="Noto Sans TC" w:cs="Noto Sans"/>
          <w:b w:val="0"/>
        </w:rPr>
        <w:t>Las cuentas y los servicios del juego mantienen el requisito vigente de haber cumplido 18 años, que no se flexibiliza por los servicios de AI. El acceso a información pública no equivale a una autorización para registrar o utilizar una cuenta de juego. Cuando se trate información de menores, se respetarán los requisitos de protección aplicables; las conversaciones con AI no sustituyen al consentimiento del representante legal ni a las verificaciones exigidos por la ley.</w:t>
      </w:r>
    </w:p>
    <w:p>
      <w:pPr>
        <w:pStyle w:val="Heading1"/>
        <w:keepLines w:val="0"/>
      </w:pPr>
      <w:r>
        <w:rPr>
          <w:rFonts w:ascii="Noto Sans" w:hAnsi="Noto Sans" w:eastAsia="Noto Sans TC" w:cs="Noto Sans"/>
          <w:b w:val="0"/>
        </w:rPr>
        <w:t>10. Modelos de terceros y tratamiento de datos</w:t>
      </w:r>
    </w:p>
    <w:p>
      <w:pPr>
        <w:keepLines w:val="0"/>
      </w:pPr>
      <w:r>
        <w:rPr>
          <w:rFonts w:ascii="Noto Sans" w:hAnsi="Noto Sans" w:eastAsia="Noto Sans TC" w:cs="Noto Sans"/>
          <w:b w:val="0"/>
        </w:rPr>
        <w:t>La integración tecnológica utiliza las capacidades de Qwen de Alibaba Cloud Model Studio; el acceso al modelo utiliza un endpoint de la región de Tokio, Japón. La ubicación regional del endpoint no significa que todos los datos de los usuarios se traten exclusivamente en Japón ni sustituye la verificación de los acuerdos de servicio efectivos, los registros del proveedor, los controles de entrenamiento, los ajustes de conservación y las obligaciones transfronterizas. OpenAI Codex participa en la construcción de la base de conocimientos, el desarrollo de funciones, el diseño de la interacción y la optimización continua; ello no le otorga automáticamente acceso a los datos de conversación de los usuarios ni significa que haya entrenado el modelo de base Qwen. Las entradas, el contexto, los registros de servicio, la conservación y los controles de entrenamiento concretos se rigen por la Política de privacidad de DAWNBLOOM vigente, la información específica aplicable y los acuerdos de servicio efectivos. La información de privacidad específica de AI sigue en proceso de verificación; estas condiciones no sustituyen la confirmación de los hechos relativos al tratamiento de datos. No se habilitará el modelo ni el tratamiento de datos personales correspondiente hasta que se hayan completado la información, la autorización y la verificación de seguridad necesarias.</w:t>
      </w:r>
    </w:p>
    <w:p>
      <w:pPr>
        <w:pStyle w:val="Heading1"/>
        <w:keepLines w:val="0"/>
      </w:pPr>
      <w:r>
        <w:rPr>
          <w:rFonts w:ascii="Noto Sans" w:hAnsi="Noto Sans" w:eastAsia="Noto Sans TC" w:cs="Noto Sans"/>
          <w:b w:val="0"/>
        </w:rPr>
        <w:t>11. Disponibilidad, incidencias y ajustes del servicio</w:t>
      </w:r>
    </w:p>
    <w:p>
      <w:pPr>
        <w:keepLines w:val="0"/>
      </w:pPr>
      <w:r>
        <w:rPr>
          <w:rFonts w:ascii="Noto Sans" w:hAnsi="Noto Sans" w:eastAsia="Noto Sans TC" w:cs="Noto Sans"/>
          <w:b w:val="0"/>
        </w:rPr>
        <w:t>Las funciones efectivas quedan determinadas por los accesos habilitados y el estado oficial del servicio. El mantenimiento, los fallos, los incidentes de seguridad, las limitaciones de capacidad o las incidencias de los proveedores pueden restringir parte del servicio; adoptaremos las medidas necesarias e informaremos de los cambios importantes por los canales adecuados. La interrupción de las solicitudes al modelo no equivale a la cancelación de la cuenta; los derechos derivados de compras existentes y las vías de recurso legales no quedan automáticamente sin efecto por las restricciones de las funciones de AI.</w:t>
      </w:r>
    </w:p>
    <w:p>
      <w:pPr>
        <w:pStyle w:val="Heading1"/>
        <w:keepLines w:val="0"/>
      </w:pPr>
      <w:r>
        <w:rPr>
          <w:rFonts w:ascii="Noto Sans" w:hAnsi="Noto Sans" w:eastAsia="Noto Sans TC" w:cs="Noto Sans"/>
          <w:b w:val="0"/>
        </w:rPr>
        <w:t>12. Medidas por infracciones, reclamaciones y corrección de errores</w:t>
      </w:r>
    </w:p>
    <w:p>
      <w:pPr>
        <w:keepLines w:val="0"/>
      </w:pPr>
      <w:r>
        <w:rPr>
          <w:rFonts w:ascii="Noto Sans" w:hAnsi="Noto Sans" w:eastAsia="Noto Sans TC" w:cs="Noto Sans"/>
          <w:b w:val="0"/>
        </w:rPr>
        <w:t>En función del riesgo real, podrán limitarse las solicitudes, suspenderse las funciones inteligentes correspondientes o aplicarse las medidas previstas en las Normas para jugadores, y se facilitarán canales oficiales de reclamación. Los usuarios pueden solicitar la corrección de errores aportando la respuesta concreta, la hora de la consulta y la documentación necesaria para su verificación; oculte los datos personales ajenos al asunto. Una respuesta de AI no constituye por sí misma una resolución sancionadora.</w:t>
      </w:r>
    </w:p>
    <w:p>
      <w:pPr>
        <w:pStyle w:val="Heading1"/>
        <w:keepLines w:val="0"/>
      </w:pPr>
      <w:r>
        <w:rPr>
          <w:rFonts w:ascii="Noto Sans" w:hAnsi="Noto Sans" w:eastAsia="Noto Sans TC" w:cs="Noto Sans"/>
          <w:b w:val="0"/>
        </w:rPr>
        <w:t>13. Cese del uso y derechos sobre los datos</w:t>
      </w:r>
    </w:p>
    <w:p>
      <w:pPr>
        <w:keepLines w:val="0"/>
      </w:pPr>
      <w:r>
        <w:rPr>
          <w:rFonts w:ascii="Noto Sans" w:hAnsi="Noto Sans" w:eastAsia="Noto Sans TC" w:cs="Noto Sans"/>
          <w:b w:val="0"/>
        </w:rPr>
        <w:t xml:space="preserve">Los usuarios pueden dejar de conversar, retirar los consentimientos que sean revocables conforme a la ley, borrar el historial local de conversaciones y presentar solicitudes de acceso, rectificación, supresión, limitación del tratamiento y reclamaciones mediante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 los canales oficiales de atención al cliente. El borrado del historial local no elimina automáticamente los registros de servicio, los expedientes de atención o los registros de terceros conservados conforme a la ley; el tratamiento posterior se realizará según las categorías reales de datos, las obligaciones legales y las necesidades de seguridad y de controversias pendientes, sin afectar a los derechos existentes. El cese del uso no deja sin efecto las reclamaciones, los reembolsos, las solicitudes de privacidad ni las vías de recurso legales existentes.</w:t>
      </w:r>
    </w:p>
    <w:p>
      <w:pPr>
        <w:pStyle w:val="Heading1"/>
        <w:keepLines w:val="0"/>
      </w:pPr>
      <w:r>
        <w:rPr>
          <w:rFonts w:ascii="Noto Sans" w:hAnsi="Noto Sans" w:eastAsia="Noto Sans TC" w:cs="Noto Sans"/>
          <w:b w:val="0"/>
        </w:rPr>
        <w:t>14. Actualizaciones, reclamaciones y contacto</w:t>
      </w:r>
    </w:p>
    <w:p>
      <w:pPr>
        <w:keepLines w:val="0"/>
      </w:pPr>
      <w:r>
        <w:rPr>
          <w:rFonts w:ascii="Noto Sans" w:hAnsi="Noto Sans" w:eastAsia="Noto Sans TC" w:cs="Noto Sans"/>
          <w:b w:val="0"/>
        </w:rPr>
        <w:t xml:space="preserve">Los cambios importantes en las condiciones o en el tratamiento se comunicarán conforme a la legislación aplicable y se realizarán los trámites necesarios, sin reducir retroactivamente los derechos legales ya constituidos. Cuestiones jurídicas y derechos sobre los datos: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atención al cliente y corrección de errores: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incidentes de seguridad: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Se mantiene la dirección legal de contacto indicada en la información jurídica oficial.</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 uso de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