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Verkaufs- &amp; Rückerstattungsbedingungen</w:t>
      </w:r>
    </w:p>
    <w:p>
      <w:pPr>
        <w:keepLines w:val="0"/>
      </w:pPr>
      <w:r>
        <w:rPr>
          <w:rFonts w:ascii="Noto Sans" w:hAnsi="Noto Sans" w:eastAsia="Arial Unicode MS" w:cs="Noto Sans"/>
          <w:b w:val="0"/>
        </w:rPr>
        <w:t>Verkaufs- und Rückerstattungsbedingungen · Offizielle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Aktualisiert am: 10. Oktober 2026</w:t>
      </w:r>
    </w:p>
    <w:p>
      <w:pPr>
        <w:keepLines w:val="0"/>
      </w:pPr>
      <w:r>
        <w:rPr>
          <w:rFonts w:ascii="Noto Sans" w:hAnsi="Noto Sans" w:eastAsia="Arial Unicode MS" w:cs="Noto Sans"/>
          <w:b w:val="0"/>
        </w:rPr>
        <w:t>Gültig ab: 10. Oktober 2026</w:t>
      </w:r>
    </w:p>
    <w:p>
      <w:pPr>
        <w:keepLines w:val="0"/>
      </w:pPr>
      <w:r>
        <w:rPr>
          <w:rFonts w:ascii="Noto Sans" w:hAnsi="Noto Sans" w:eastAsia="Arial Unicode MS" w:cs="Noto Sans"/>
          <w:b w:val="0"/>
        </w:rPr>
        <w:t>Geltungsbereich: Shop der offiziellen DAWNBLOOM-Website und zugehörige offizielle Vertriebskanäle; Bestellungen auf Drittplattformen werden nach den Regeln der jeweiligen Plattform abgewickelt. Die Zahlungsfunktionen der offiziellen Website richten sich nach der tatsächlichen Freischaltung.</w:t>
      </w:r>
    </w:p>
    <w:p>
      <w:pPr>
        <w:pStyle w:val="Heading1"/>
        <w:keepLines w:val="0"/>
      </w:pPr>
      <w:r>
        <w:rPr>
          <w:rFonts w:ascii="Noto Sans" w:hAnsi="Noto Sans" w:eastAsia="Arial Unicode MS" w:cs="Noto Sans"/>
          <w:b w:val="0"/>
        </w:rPr>
        <w:t>Beziehung zwischen veröffentlichten Informationen und Dokumenten</w:t>
      </w:r>
    </w:p>
    <w:p>
      <w:pPr>
        <w:keepLines w:val="0"/>
      </w:pPr>
      <w:r>
        <w:rPr>
          <w:rFonts w:ascii="Noto Sans" w:hAnsi="Noto Sans" w:eastAsia="Arial Unicode MS" w:cs="Noto Sans"/>
          <w:b w:val="0"/>
        </w:rPr>
        <w:t>Verkäufer/Betreiber: SHANGHAI LUMIREALM CREATIVE MEDIA CO., LTD. (englischer öffentlicher Name: SHANGHAI LUMIREALM CREATIVE MEDIA CO., LTD.)</w:t>
      </w:r>
    </w:p>
    <w:p>
      <w:pPr>
        <w:keepLines w:val="0"/>
      </w:pPr>
      <w:r>
        <w:rPr>
          <w:rFonts w:ascii="Noto Sans" w:hAnsi="Noto Sans" w:eastAsia="Arial Unicode MS" w:cs="Noto Sans"/>
          <w:b w:val="0"/>
        </w:rPr>
        <w:t xml:space="preserve">Offizielle Website: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Kundenservice für Rückerstattungen und Bestellungen: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Diese Bedingungen gelten zusammen mit den Nutzungsbedingungen der Website und der DAWNBLOOM Community, der Datenschutzrichtlinie, den Spielerregeln und der spezifischen Produktseite. Produktinhalt, Wahrscheinlichkeiten, Lieferung, Promotionen und Einschränkungen werden durch die Informationen geregelt, die beim Kauf deutlich angezeigt werden. Pflichtmäßige Verbraucherrechte bleiben unberührt.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Leitfaden für Kauf und Rückerstattung</w:t>
            </w:r>
          </w:p>
        </w:tc>
        <w:tc>
          <w:tcPr>
            <w:tcW w:type="dxa" w:w="4873"/>
            <w:vAlign w:val="center"/>
            <w:shd w:fill="DCE8F7"/>
          </w:tcPr>
          <w:p>
            <w:pPr>
              <w:keepNext/>
              <w:spacing w:after="40"/>
            </w:pPr>
            <w:r>
              <w:rPr>
                <w:rFonts w:ascii="Noto Sans" w:hAnsi="Noto Sans" w:eastAsia="Arial Unicode MS" w:cs="Noto Sans"/>
                <w:b/>
                <w:sz w:val="17"/>
              </w:rPr>
              <w:t>Regel</w:t>
            </w:r>
          </w:p>
        </w:tc>
      </w:tr>
      <w:tr>
        <w:trPr>
          <w:cantSplit/>
        </w:trPr>
        <w:tc>
          <w:tcPr>
            <w:tcW w:type="dxa" w:w="4873"/>
            <w:vAlign w:val="center"/>
          </w:tcPr>
          <w:p>
            <w:pPr>
              <w:spacing w:after="40"/>
            </w:pPr>
            <w:r>
              <w:rPr>
                <w:rFonts w:ascii="Noto Sans" w:hAnsi="Noto Sans" w:eastAsia="Arial Unicode MS" w:cs="Noto Sans"/>
                <w:sz w:val="17"/>
              </w:rPr>
              <w:t>Website-Produkte</w:t>
            </w:r>
          </w:p>
        </w:tc>
        <w:tc>
          <w:tcPr>
            <w:tcW w:type="dxa" w:w="4873"/>
            <w:vAlign w:val="center"/>
          </w:tcPr>
          <w:p>
            <w:pPr>
              <w:spacing w:after="40"/>
            </w:pPr>
            <w:r>
              <w:rPr>
                <w:rFonts w:ascii="Noto Sans" w:hAnsi="Noto Sans" w:eastAsia="Arial Unicode MS" w:cs="Noto Sans"/>
                <w:sz w:val="17"/>
              </w:rPr>
              <w:t>CNY-Basis; tägliche USD/JPY-Umrechnung und ein zum Bestätigungszeitpunkt gesperrter Produktpreis.</w:t>
            </w:r>
          </w:p>
        </w:tc>
      </w:tr>
      <w:tr>
        <w:trPr>
          <w:cantSplit/>
        </w:trPr>
        <w:tc>
          <w:tcPr>
            <w:tcW w:type="dxa" w:w="4873"/>
            <w:vAlign w:val="center"/>
          </w:tcPr>
          <w:p>
            <w:pPr>
              <w:spacing w:after="40"/>
            </w:pPr>
            <w:r>
              <w:rPr>
                <w:rFonts w:ascii="Noto Sans" w:hAnsi="Noto Sans" w:eastAsia="Arial Unicode MS" w:cs="Noto Sans"/>
                <w:sz w:val="17"/>
              </w:rPr>
              <w:t>Website-Rückerstattung</w:t>
            </w:r>
          </w:p>
        </w:tc>
        <w:tc>
          <w:tcPr>
            <w:tcW w:type="dxa" w:w="4873"/>
            <w:vAlign w:val="center"/>
          </w:tcPr>
          <w:p>
            <w:pPr>
              <w:spacing w:after="40"/>
            </w:pPr>
            <w:r>
              <w:rPr>
                <w:rFonts w:ascii="Noto Sans" w:hAnsi="Noto Sans" w:eastAsia="Arial Unicode MS" w:cs="Noto Sans"/>
                <w:sz w:val="17"/>
              </w:rPr>
              <w:t>Ursprüngliche Route, Währung und tatsächlich gezahlter Betrag; keine Neupreisfindung im Wechselkurs am Tag der Rückerstattung.</w:t>
            </w:r>
          </w:p>
        </w:tc>
      </w:tr>
      <w:tr>
        <w:trPr>
          <w:cantSplit/>
        </w:trPr>
        <w:tc>
          <w:tcPr>
            <w:tcW w:type="dxa" w:w="4873"/>
            <w:vAlign w:val="center"/>
          </w:tcPr>
          <w:p>
            <w:pPr>
              <w:spacing w:after="40"/>
            </w:pPr>
            <w:r>
              <w:rPr>
                <w:rFonts w:ascii="Noto Sans" w:hAnsi="Noto Sans" w:eastAsia="Arial Unicode MS" w:cs="Noto Sans"/>
                <w:sz w:val="17"/>
              </w:rPr>
              <w:t>Drittanbieter-Plattformen</w:t>
            </w:r>
          </w:p>
        </w:tc>
        <w:tc>
          <w:tcPr>
            <w:tcW w:type="dxa" w:w="4873"/>
            <w:vAlign w:val="center"/>
          </w:tcPr>
          <w:p>
            <w:pPr>
              <w:spacing w:after="40"/>
            </w:pPr>
            <w:r>
              <w:rPr>
                <w:rFonts w:ascii="Noto Sans" w:hAnsi="Noto Sans" w:eastAsia="Arial Unicode MS" w:cs="Noto Sans"/>
                <w:sz w:val="17"/>
              </w:rPr>
              <w:t>Ihre Zahlungs- und Rückerstattungsregeln sowie das anwendbare Recht gelten.</w:t>
            </w:r>
          </w:p>
        </w:tc>
      </w:tr>
      <w:tr>
        <w:trPr>
          <w:cantSplit/>
        </w:trPr>
        <w:tc>
          <w:tcPr>
            <w:tcW w:type="dxa" w:w="4873"/>
            <w:vAlign w:val="center"/>
          </w:tcPr>
          <w:p>
            <w:pPr>
              <w:spacing w:after="40"/>
            </w:pPr>
            <w:r>
              <w:rPr>
                <w:rFonts w:ascii="Noto Sans" w:hAnsi="Noto Sans" w:eastAsia="Arial Unicode MS" w:cs="Noto Sans"/>
                <w:sz w:val="17"/>
              </w:rPr>
              <w:t>Minderjährige</w:t>
            </w:r>
          </w:p>
        </w:tc>
        <w:tc>
          <w:tcPr>
            <w:tcW w:type="dxa" w:w="4873"/>
            <w:vAlign w:val="center"/>
          </w:tcPr>
          <w:p>
            <w:pPr>
              <w:spacing w:after="40"/>
            </w:pPr>
            <w:r>
              <w:rPr>
                <w:rFonts w:ascii="Noto Sans" w:hAnsi="Noto Sans" w:eastAsia="Arial Unicode MS" w:cs="Noto Sans"/>
                <w:sz w:val="17"/>
              </w:rPr>
              <w:t>Nach einem verifizierten und abgeschlossenen vollständigen oder nahezu vollständigen Rückerstattungsvorgang wird nur das betroffene Spielkonto dauerhaft eingeschränkt; eine menschliche Korrektur ist verfügbar.</w:t>
            </w:r>
          </w:p>
        </w:tc>
      </w:tr>
    </w:tbl>
    <w:p>
      <w:pPr>
        <w:spacing w:after="40"/>
      </w:pPr>
    </w:p>
    <w:p>
      <w:pPr>
        <w:pStyle w:val="Heading1"/>
        <w:keepLines w:val="0"/>
      </w:pPr>
      <w:r>
        <w:rPr>
          <w:rFonts w:ascii="Noto Sans" w:hAnsi="Noto Sans" w:eastAsia="Arial Unicode MS" w:cs="Noto Sans"/>
          <w:b w:val="0"/>
        </w:rPr>
        <w:t>Kurze Zusammenfassung der Rückerstattungen</w:t>
      </w:r>
    </w:p>
    <w:p>
      <w:pPr>
        <w:pStyle w:val="ListBullet"/>
        <w:keepLines w:val="0"/>
      </w:pPr>
      <w:r>
        <w:rPr>
          <w:rFonts w:ascii="Noto Sans" w:hAnsi="Noto Sans" w:eastAsia="Arial Unicode MS" w:cs="Noto Sans"/>
          <w:b w:val="0"/>
        </w:rPr>
        <w:t>Website-Produkte haben einen Basispreis in CNY. USD- und JPY-Preise werden aus dem anwendbaren täglichen Referenzkurs-Snapshot abgeleitet. Sobald der Website-Kaufabschluss verfügbar ist, sperrt die Bestellbestätigung die angezeigte Produktwährung und den Betrag.</w:t>
      </w:r>
    </w:p>
    <w:p>
      <w:pPr>
        <w:pStyle w:val="ListBullet"/>
        <w:keepLines w:val="0"/>
      </w:pPr>
      <w:r>
        <w:rPr>
          <w:rFonts w:ascii="Noto Sans" w:hAnsi="Noto Sans" w:eastAsia="Arial Unicode MS" w:cs="Noto Sans"/>
          <w:b w:val="0"/>
        </w:rPr>
        <w:t>Bei wiederholten Abbuchungen, Nichtgutschrift, falscher Lieferung, offensichtlichen technischen Fehlern oder Diskrepanzen zwischen den Waren und den öffentlich bekanntgegebenen Informationen wird die Untersuchung priorisiert und angemessene Abhilfen wie Ersatz, Reparatur, Rückerstattung oder andere geeignete Entschädigungen werden bereitgestellt.</w:t>
      </w:r>
    </w:p>
    <w:p>
      <w:pPr>
        <w:pStyle w:val="ListBullet"/>
        <w:keepLines w:val="0"/>
      </w:pPr>
      <w:r>
        <w:rPr>
          <w:rFonts w:ascii="Noto Sans" w:hAnsi="Noto Sans" w:eastAsia="Arial Unicode MS" w:cs="Noto Sans"/>
          <w:b w:val="0"/>
        </w:rPr>
        <w:t>Digitale Güter, die bereits aktiviert, verbraucht, übertragen, getauscht wurden oder deren zufällige Ergebnisse generiert wurden, sind im Allgemeinen nicht für freiwillige Rückerstattungen wegen „Kaufbereue“ oder „Unzufriedenheit mit dem Zufallsergebnis“ berechtigt; Ausnahmen gelten, soweit das anwendbare Recht anders vorsieht.</w:t>
      </w:r>
    </w:p>
    <w:p>
      <w:pPr>
        <w:pStyle w:val="ListBullet"/>
        <w:keepLines w:val="0"/>
      </w:pPr>
      <w:r>
        <w:rPr>
          <w:rFonts w:ascii="Noto Sans" w:hAnsi="Noto Sans" w:eastAsia="Arial Unicode MS" w:cs="Noto Sans"/>
          <w:b w:val="0"/>
        </w:rPr>
        <w:t>Bestellungen, die über den Apple App Store, Steam und zukünftige Plattformen wie Google Play aufgegeben werden, folgen, wo möglich, den jeweiligen Rückerstattungsverfahren der Plattformen. DAWNBLOOM hilft bei Bedarf bei der Überprüfung des Bestell- und Lieferstatus.</w:t>
      </w:r>
    </w:p>
    <w:p>
      <w:pPr>
        <w:pStyle w:val="ListBullet"/>
        <w:keepLines w:val="0"/>
      </w:pPr>
      <w:r>
        <w:rPr>
          <w:rFonts w:ascii="Noto Sans" w:hAnsi="Noto Sans" w:eastAsia="Arial Unicode MS" w:cs="Noto Sans"/>
          <w:b w:val="0"/>
        </w:rPr>
        <w:t>Die Nutzung von Apple Pay auf der offiziellen Website ist eine Zahlungsmethode und entspricht nicht einem In-App-Kauf im App Store. Bestellungen, die über Apple Pay durch dawnbloom.net aufgegeben werden, gelten als offizielle Website-Bestellungen.</w:t>
      </w:r>
    </w:p>
    <w:p>
      <w:pPr>
        <w:pStyle w:val="ListBullet"/>
        <w:keepLines w:val="0"/>
      </w:pPr>
      <w:r>
        <w:rPr>
          <w:rFonts w:ascii="Noto Sans" w:hAnsi="Noto Sans" w:eastAsia="Arial Unicode MS" w:cs="Noto Sans"/>
          <w:b w:val="0"/>
        </w:rPr>
        <w:t>Der Service richtet sich an Erwachsene ab 18 Jahren. Ansprüche auf Minderjährigenkäufe werden nach anwendbarem Recht, Beweisen und Plattformregeln geprüft, ohne feste Obergrenze von 70 %. Nach einem verifizierten Minderjährigenkauf, der eine genehmigte volle oder nahezu volle Rückerstattung erhalten und tatsächlich abgeschlossen hat, wird das betroffene Spielkonto dauerhaft vom normalen Spieledienst ausgeschlossen; fehlerhafte Entscheidungen können durch autorisierte menschliche Prüfung korrigiert werden.</w:t>
      </w:r>
    </w:p>
    <w:p>
      <w:pPr>
        <w:pStyle w:val="ListBullet"/>
        <w:keepLines w:val="0"/>
      </w:pPr>
      <w:r>
        <w:rPr>
          <w:rFonts w:ascii="Noto Sans" w:hAnsi="Noto Sans" w:eastAsia="Arial Unicode MS" w:cs="Noto Sans"/>
          <w:b w:val="0"/>
        </w:rPr>
        <w:t>Digitale Berechtigungen, die mit einer abgeschlossenen Rückerstattung verbunden sind, können rückgängig gemacht werden. Ordinary refunds and good-faith disputes do not by themselves trigger the minor-specific game restriction. That restriction does not reduce a legally approved refund or automatically disable the entire DAWNBLOOM Account.</w:t>
      </w:r>
    </w:p>
    <w:p>
      <w:pPr>
        <w:pStyle w:val="ListBullet"/>
        <w:keepLines w:val="0"/>
      </w:pPr>
      <w:r>
        <w:rPr>
          <w:rFonts w:ascii="Noto Sans" w:hAnsi="Noto Sans" w:eastAsia="Arial Unicode MS" w:cs="Noto Sans"/>
          <w:b w:val="0"/>
        </w:rPr>
        <w:t>Die Wahrscheinlichkeit, die Preislisten und Versionsinformationen für zufallsbasierte Güter müssen vor dem Kauf klar offengelegt werden; der spezifische Verkaufsmechanismus für zufallsbasierte Güter in der Festlandchina-Region muss vor dem offiziellen Launch ein separates Compliance-Gate durchlaufen.</w:t>
      </w:r>
    </w:p>
    <w:p>
      <w:pPr>
        <w:pStyle w:val="Heading1"/>
        <w:keepLines w:val="0"/>
      </w:pPr>
      <w:r>
        <w:rPr>
          <w:rFonts w:ascii="Noto Sans" w:hAnsi="Noto Sans" w:eastAsia="Arial Unicode MS" w:cs="Noto Sans"/>
          <w:b w:val="0"/>
        </w:rPr>
        <w:t>1. Anwendungsbereich und Kaufberechtigung</w:t>
      </w:r>
    </w:p>
    <w:p>
      <w:pPr>
        <w:keepLines w:val="0"/>
      </w:pPr>
      <w:r>
        <w:rPr>
          <w:rFonts w:ascii="Noto Sans" w:hAnsi="Noto Sans" w:eastAsia="Arial Unicode MS" w:cs="Noto Sans"/>
          <w:b w:val="0"/>
        </w:rPr>
        <w:t>Diese Bedingungen gelten für digitale Güter, die über den DAWNBLOOM-Webshop erworben wurden. Käufe, deren Preis, Belastung oder Rückerstattung durch den Apple App Store, Steam, Google Play oder eine andere Plattform erfolgt, unterliegen den Regeln und dem anwendbaren Recht dieser Plattform und nicht dem täglichen Wechselkurs- oder Quotierungssystem der Website. Die Verfügbarkeit von Zahlungsmethoden auf der Website wird im tatsächlichen Checkout angezeigt.</w:t>
      </w:r>
    </w:p>
    <w:p>
      <w:pPr>
        <w:keepLines w:val="0"/>
      </w:pPr>
      <w:r>
        <w:rPr>
          <w:rFonts w:ascii="Noto Sans" w:hAnsi="Noto Sans" w:eastAsia="Arial Unicode MS" w:cs="Noto Sans"/>
          <w:b w:val="0"/>
        </w:rPr>
        <w:t>Die Aufnahme der sechs Apps in das Produktangebot bedeutet nicht, dass jede einzelne zum Kauf oder zur Subskription verfügbar ist. Wenn später kostenpflichtige Software oder In-App-Elemente angeboten werden, wird die Verkaufsseite vor dem Kauf Preis, Lieferung, Stornierung und Rückerstattungen angeben. Die aktuellen Regeln für virtuelle Gegenstände in Spielen gelten nicht automatisch für Softwarekäufe.</w:t>
      </w:r>
    </w:p>
    <w:p>
      <w:pPr>
        <w:keepLines w:val="0"/>
      </w:pPr>
      <w:r>
        <w:rPr>
          <w:rFonts w:ascii="Noto Sans" w:hAnsi="Noto Sans" w:eastAsia="Arial Unicode MS" w:cs="Noto Sans"/>
          <w:b w:val="0"/>
        </w:rPr>
        <w:t>Der DAWNBLOOM-Dienst ist derzeit ausschließlich Nutzern ab 18 Jahren verfügbar. Vor der Bestellung müssen Nutzer sicherstellen, dass sie die rechtliche Geschäftsfähigkeit zum Abschluss von Verträgen besitzen und die relevanten Zahlungsmethoden nutzen sowie bestätigen, dass die Kaufhandlung von ihnen selbst oder einem gesetzlich bevollmächtigten Inhaber des Zahlungsinstruments autorisiert ist.</w:t>
      </w:r>
    </w:p>
    <w:p>
      <w:pPr>
        <w:keepLines w:val="0"/>
      </w:pPr>
      <w:r>
        <w:rPr>
          <w:rFonts w:ascii="Noto Sans" w:hAnsi="Noto Sans" w:eastAsia="Arial Unicode MS" w:cs="Noto Sans"/>
          <w:b w:val="0"/>
        </w:rPr>
        <w:t>Nutzerkäufe, die über Drittplattformen getätigt werden, unterliegen den Nutzungsbedingungen, Entwicklerrichtlinien, Rückerstattungsrichtlinien und den anwendbaren lokalen Gesetzen solcher Plattformen. Wenn die Regeln der Plattform Nutzern günstigere und nicht ausschließbare Rückerstattungsrechte gewähren, gelten diese Regeln und Gesetze.</w:t>
      </w:r>
    </w:p>
    <w:p>
      <w:pPr>
        <w:pStyle w:val="Heading1"/>
        <w:keepLines w:val="0"/>
      </w:pPr>
      <w:r>
        <w:rPr>
          <w:rFonts w:ascii="Noto Sans" w:hAnsi="Noto Sans" w:eastAsia="Arial Unicode MS" w:cs="Noto Sans"/>
          <w:b w:val="0"/>
        </w:rPr>
        <w:t>2. Digitale Güter, Preise und Zahlungsmethoden</w:t>
      </w:r>
    </w:p>
    <w:p>
      <w:pPr>
        <w:pStyle w:val="Heading1"/>
        <w:keepLines w:val="0"/>
      </w:pPr>
      <w:r>
        <w:rPr>
          <w:rFonts w:ascii="Noto Sans" w:hAnsi="Noto Sans" w:eastAsia="Arial Unicode MS" w:cs="Noto Sans"/>
          <w:b w:val="0"/>
        </w:rPr>
        <w:t>2.1 Art der Güter</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Produktkategorien</w:t>
            </w:r>
          </w:p>
        </w:tc>
        <w:tc>
          <w:tcPr>
            <w:tcW w:type="dxa" w:w="3249"/>
            <w:vAlign w:val="center"/>
            <w:shd w:fill="DCE8F7"/>
          </w:tcPr>
          <w:p>
            <w:pPr>
              <w:keepNext/>
              <w:spacing w:after="40"/>
            </w:pPr>
            <w:r>
              <w:rPr>
                <w:rFonts w:ascii="Noto Sans" w:hAnsi="Noto Sans" w:eastAsia="Arial Unicode MS" w:cs="Noto Sans"/>
                <w:b/>
                <w:sz w:val="17"/>
              </w:rPr>
              <w:t>Anforderungen an die Offenlegung vor dem Kauf</w:t>
            </w:r>
          </w:p>
        </w:tc>
        <w:tc>
          <w:tcPr>
            <w:tcW w:type="dxa" w:w="3249"/>
            <w:vAlign w:val="center"/>
            <w:shd w:fill="DCE8F7"/>
          </w:tcPr>
          <w:p>
            <w:pPr>
              <w:keepNext/>
              <w:spacing w:after="40"/>
            </w:pPr>
            <w:r>
              <w:rPr>
                <w:rFonts w:ascii="Noto Sans" w:hAnsi="Noto Sans" w:eastAsia="Arial Unicode MS" w:cs="Noto Sans"/>
                <w:b/>
                <w:sz w:val="17"/>
              </w:rPr>
              <w:t>Liefermerkmale</w:t>
            </w:r>
          </w:p>
        </w:tc>
      </w:tr>
      <w:tr>
        <w:trPr>
          <w:cantSplit/>
        </w:trPr>
        <w:tc>
          <w:tcPr>
            <w:tcW w:type="dxa" w:w="3249"/>
            <w:vAlign w:val="center"/>
          </w:tcPr>
          <w:p>
            <w:pPr>
              <w:spacing w:after="40"/>
            </w:pPr>
            <w:r>
              <w:rPr>
                <w:rFonts w:ascii="Noto Sans" w:hAnsi="Noto Sans" w:eastAsia="Arial Unicode MS" w:cs="Noto Sans"/>
                <w:sz w:val="17"/>
              </w:rPr>
              <w:t>Schatzkisten mit festem Inhalt</w:t>
            </w:r>
          </w:p>
        </w:tc>
        <w:tc>
          <w:tcPr>
            <w:tcW w:type="dxa" w:w="3249"/>
            <w:vAlign w:val="center"/>
          </w:tcPr>
          <w:p>
            <w:pPr>
              <w:spacing w:after="40"/>
            </w:pPr>
            <w:r>
              <w:rPr>
                <w:rFonts w:ascii="Noto Sans" w:hAnsi="Noto Sans" w:eastAsia="Arial Unicode MS" w:cs="Noto Sans"/>
                <w:sz w:val="17"/>
              </w:rPr>
              <w:t>Preis, vollständiger Inhalt, Menge, Nutzungs-/Transaktionsbeschränkungen und Gültigkeitsdauer (falls zutreffend)</w:t>
            </w:r>
          </w:p>
        </w:tc>
        <w:tc>
          <w:tcPr>
            <w:tcW w:type="dxa" w:w="3249"/>
            <w:vAlign w:val="center"/>
          </w:tcPr>
          <w:p>
            <w:pPr>
              <w:spacing w:after="40"/>
            </w:pPr>
            <w:r>
              <w:rPr>
                <w:rFonts w:ascii="Noto Sans" w:hAnsi="Noto Sans" w:eastAsia="Arial Unicode MS" w:cs="Noto Sans"/>
                <w:sz w:val="17"/>
              </w:rPr>
              <w:t>Nach Bestätigung der Zahlung wird der Inhalt an das entsprechende Spielkonto geliefert; der Inhalt ist nicht zufällig.</w:t>
            </w:r>
          </w:p>
        </w:tc>
      </w:tr>
      <w:tr>
        <w:trPr>
          <w:cantSplit/>
        </w:trPr>
        <w:tc>
          <w:tcPr>
            <w:tcW w:type="dxa" w:w="3249"/>
            <w:vAlign w:val="center"/>
          </w:tcPr>
          <w:p>
            <w:pPr>
              <w:spacing w:after="40"/>
            </w:pPr>
            <w:r>
              <w:rPr>
                <w:rFonts w:ascii="Noto Sans" w:hAnsi="Noto Sans" w:eastAsia="Arial Unicode MS" w:cs="Noto Sans"/>
                <w:sz w:val="17"/>
              </w:rPr>
              <w:t>Zufällige Schatzkiste</w:t>
            </w:r>
          </w:p>
        </w:tc>
        <w:tc>
          <w:tcPr>
            <w:tcW w:type="dxa" w:w="3249"/>
            <w:vAlign w:val="center"/>
          </w:tcPr>
          <w:p>
            <w:pPr>
              <w:spacing w:after="40"/>
            </w:pPr>
            <w:r>
              <w:rPr>
                <w:rFonts w:ascii="Noto Sans" w:hAnsi="Noto Sans" w:eastAsia="Arial Unicode MS" w:cs="Noto Sans"/>
                <w:sz w:val="17"/>
              </w:rPr>
              <w:t>Preis, möglicher Gegenstandsbereich, Wahrscheinlichkeitsregeln oder -normen, Menge oder Seltenheit, Versionsnummer/Geltungsdatum, Einschränkungsbedingungen</w:t>
            </w:r>
          </w:p>
        </w:tc>
        <w:tc>
          <w:tcPr>
            <w:tcW w:type="dxa" w:w="3249"/>
            <w:vAlign w:val="center"/>
          </w:tcPr>
          <w:p>
            <w:pPr>
              <w:spacing w:after="40"/>
            </w:pPr>
            <w:r>
              <w:rPr>
                <w:rFonts w:ascii="Noto Sans" w:hAnsi="Noto Sans" w:eastAsia="Arial Unicode MS" w:cs="Noto Sans"/>
                <w:sz w:val="17"/>
              </w:rPr>
              <w:t>Nach Bestätigung der Zahlung wird die Schatzkiste an das entsprechende Spielkonto ausgegeben; beim Öffnen wird das Zufallsergebnis gemäß den zum Zeitpunkt des Öffnens öffentlich bekannt gegebenen Regeln erzeugt.</w:t>
            </w:r>
          </w:p>
        </w:tc>
      </w:tr>
      <w:tr>
        <w:trPr>
          <w:cantSplit/>
        </w:trPr>
        <w:tc>
          <w:tcPr>
            <w:tcW w:type="dxa" w:w="3249"/>
            <w:vAlign w:val="center"/>
          </w:tcPr>
          <w:p>
            <w:pPr>
              <w:spacing w:after="40"/>
            </w:pPr>
            <w:r>
              <w:rPr>
                <w:rFonts w:ascii="Noto Sans" w:hAnsi="Noto Sans" w:eastAsia="Arial Unicode MS" w:cs="Noto Sans"/>
                <w:sz w:val="17"/>
              </w:rPr>
              <w:t>Zukünftige Digitale Güter</w:t>
            </w:r>
          </w:p>
        </w:tc>
        <w:tc>
          <w:tcPr>
            <w:tcW w:type="dxa" w:w="3249"/>
            <w:vAlign w:val="center"/>
          </w:tcPr>
          <w:p>
            <w:pPr>
              <w:spacing w:after="40"/>
            </w:pPr>
            <w:r>
              <w:rPr>
                <w:rFonts w:ascii="Noto Sans" w:hAnsi="Noto Sans" w:eastAsia="Arial Unicode MS" w:cs="Noto Sans"/>
                <w:sz w:val="17"/>
              </w:rPr>
              <w:t>Die spezifischen Bedingungen für Preis, Inhalt, Lieferung und Rückerstattung werden je nach Art der Güter definiert.</w:t>
            </w:r>
          </w:p>
        </w:tc>
        <w:tc>
          <w:tcPr>
            <w:tcW w:type="dxa" w:w="3249"/>
            <w:vAlign w:val="center"/>
          </w:tcPr>
          <w:p>
            <w:pPr>
              <w:spacing w:after="40"/>
            </w:pPr>
            <w:r>
              <w:rPr>
                <w:rFonts w:ascii="Noto Sans" w:hAnsi="Noto Sans" w:eastAsia="Arial Unicode MS" w:cs="Noto Sans"/>
                <w:sz w:val="17"/>
              </w:rPr>
              <w:t>Die Kaufseite und diese Bedingungen gelten.</w:t>
            </w:r>
          </w:p>
        </w:tc>
      </w:tr>
    </w:tbl>
    <w:p>
      <w:pPr>
        <w:spacing w:after="40"/>
      </w:pPr>
    </w:p>
    <w:p>
      <w:pPr>
        <w:pStyle w:val="Heading1"/>
        <w:keepLines w:val="0"/>
      </w:pPr>
      <w:r>
        <w:rPr>
          <w:rFonts w:ascii="Noto Sans" w:hAnsi="Noto Sans" w:eastAsia="Arial Unicode MS" w:cs="Noto Sans"/>
          <w:b w:val="0"/>
        </w:rPr>
        <w:t>2.2 Zahlungsmethoden</w:t>
      </w:r>
    </w:p>
    <w:p>
      <w:pPr>
        <w:keepLines w:val="0"/>
      </w:pPr>
      <w:r>
        <w:rPr>
          <w:rFonts w:ascii="Noto Sans" w:hAnsi="Noto Sans" w:eastAsia="Arial Unicode MS" w:cs="Noto Sans"/>
          <w:b w:val="0"/>
        </w:rPr>
        <w:t>Wenn die Website-Zahlung aktiviert wird, können die gesetzlich verfügbaren Methoden je nach Region und Gerät variieren. Die tatsächliche Methode, die Abrechnungswährung, Steuern und Verifizierungsschritte müssen vor der endgültigen Bestätigung angezeigt werden.</w:t>
      </w:r>
    </w:p>
    <w:p>
      <w:pPr>
        <w:keepLines w:val="0"/>
      </w:pPr>
      <w:r>
        <w:rPr>
          <w:rFonts w:ascii="Noto Sans" w:hAnsi="Noto Sans" w:eastAsia="Arial Unicode MS" w:cs="Noto Sans"/>
          <w:b w:val="0"/>
        </w:rPr>
        <w:t>Über Apple Pay auf dawnbloom.net getätigte Zahlungen gelten als offizielle Website-Bestellungen; Apple Pay dient ausschließlich als Zahlungsmethode und stellt keinen durch den App Store abgeschlossenen In-App-Kauf dar.</w:t>
      </w:r>
    </w:p>
    <w:p>
      <w:pPr>
        <w:pStyle w:val="Heading1"/>
        <w:keepLines w:val="0"/>
      </w:pPr>
      <w:r>
        <w:rPr>
          <w:rFonts w:ascii="Noto Sans" w:hAnsi="Noto Sans" w:eastAsia="Arial Unicode MS" w:cs="Noto Sans"/>
          <w:b w:val="0"/>
        </w:rPr>
        <w:t>2.3 Preise, Steuern und Wechselkurse</w:t>
      </w:r>
    </w:p>
    <w:p>
      <w:pPr>
        <w:keepLines w:val="0"/>
      </w:pPr>
      <w:r>
        <w:rPr>
          <w:rFonts w:ascii="Noto Sans" w:hAnsi="Noto Sans" w:eastAsia="Arial Unicode MS" w:cs="Noto Sans"/>
          <w:b w:val="0"/>
        </w:rPr>
        <w:t>CNY ist die einzige Basiswährung für Website-Produkte. USD- und JPY-Preise werden direkt aus CNY unter Verwendung desselben anwendbaren täglichen Referenz-Wechselkurseschnappschusses berechnet, jeweils auf Cent bzw. ganze Yen gerundet; CNY verwendet Fen. Die Kurse werden normalerweise einmal täglich aktualisiert. Wenn eine Aktualisierung fehlschlägt, kann der letzte gültige Schnappschuss mit seiner Aktualisierungszeit verwendet werden. Der Kurs ist Referenzinformation; ein Produktpreis, der daraus berechnet und in einem gültigen Angebot angezeigt wird, ist der tatsächliche Settlement-Preis. Bei Bestätigung sperrt das Angebot das Produkt, die Währung und den Betrag, auch wenn die tägliche Aktualisierung während seiner Gültigkeit erfolgt. Ein abgelaufenes Angebot erfordert einen neuen Preis und Benutzerbestätigung. Der angezeigte Produktbetrag, der gültige Bestellbetrag und der Zahlungsbetrag müssen übereinstimmen, ohne eine zweite Checkout-Umrechnung. Produktpreis, anwendbare Steuern und andere zu zahlende Gebühren müssen vor der Bestätigung separat offengelegt werden. Bankauszugsumrechnung und unabhängig berechnete Fremdwährungsgebühren liegen außerhalb des täglichen Website-Kurses.</w:t>
      </w:r>
    </w:p>
    <w:p>
      <w:pPr>
        <w:pStyle w:val="Heading1"/>
        <w:keepLines w:val="0"/>
      </w:pPr>
      <w:r>
        <w:rPr>
          <w:rFonts w:ascii="Noto Sans" w:hAnsi="Noto Sans" w:eastAsia="Arial Unicode MS" w:cs="Noto Sans"/>
          <w:b w:val="0"/>
        </w:rPr>
        <w:t>3. Bestellbestätigung, Vertragsschluss und digitale Lieferung</w:t>
      </w:r>
    </w:p>
    <w:p>
      <w:pPr>
        <w:keepLines w:val="0"/>
      </w:pPr>
      <w:r>
        <w:rPr>
          <w:rFonts w:ascii="Noto Sans" w:hAnsi="Noto Sans" w:eastAsia="Arial Unicode MS" w:cs="Noto Sans"/>
          <w:b w:val="0"/>
        </w:rPr>
        <w:t>Vor der Bestellung müssen Benutzer den Artikel, die Menge, den Typ, die ausgewählte Währung, den gesperrten Produktpreis, separat aufgeführte Steuern oder Gebühren, den gesamten zu zahlenden Betrag, das Lieferkonto und die Rückerstattungsmitteilung überprüfen können. Eine geänderte CNY-Basispreis oder täglicher Kurs betrifft nur neu bestätigte Angebote; bezahlte Bestellungen werden niemals erneut bepreist.</w:t>
      </w:r>
    </w:p>
    <w:p>
      <w:pPr>
        <w:keepLines w:val="0"/>
      </w:pPr>
      <w:r>
        <w:rPr>
          <w:rFonts w:ascii="Noto Sans" w:hAnsi="Noto Sans" w:eastAsia="Arial Unicode MS" w:cs="Noto Sans"/>
          <w:b w:val="0"/>
        </w:rPr>
        <w:t xml:space="preserve">Nach erfolgreicher Zahlung und Systembestätigung werden die digitalen Waren automatisch an das mit dem Kauf verbundene Spielkonto ausgegeben. Wenn die Zahlung abgeschlossen ist, das System sie jedoch nicht bestätigt hat, die Mittel verzögert eingegangen sind oder die Lieferung fehlgeschlagen ist, sollte der Benutzer die Bestellnummer behalten und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kontaktieren.</w:t>
      </w:r>
    </w:p>
    <w:p>
      <w:pPr>
        <w:keepLines w:val="0"/>
      </w:pPr>
      <w:r>
        <w:rPr>
          <w:rFonts w:ascii="Noto Sans" w:hAnsi="Noto Sans" w:eastAsia="Arial Unicode MS" w:cs="Noto Sans"/>
          <w:b w:val="0"/>
        </w:rPr>
        <w:t>Bestellungsdaten sollten den CNY-Basispreis beim Kauf, die tatsächliche Abrechnungswährung und den Betrag, die FX-Snapshot, die Transaktionszeit, die Liefer- und Nutzungsdaten für Rückerstattungen, Support, Audits und Streitigkeiten bewahren, vorbehaltlich der Datenschutzrichtlinie.</w:t>
      </w:r>
    </w:p>
    <w:p>
      <w:pPr>
        <w:pStyle w:val="Heading1"/>
        <w:keepLines w:val="0"/>
      </w:pPr>
      <w:r>
        <w:rPr>
          <w:rFonts w:ascii="Noto Sans" w:hAnsi="Noto Sans" w:eastAsia="Arial Unicode MS" w:cs="Noto Sans"/>
          <w:b w:val="0"/>
        </w:rPr>
        <w:t>4. Allgemeine Rückerstattungsregeln für Bestellungen auf der offiziellen Website</w:t>
      </w:r>
    </w:p>
    <w:p>
      <w:pPr>
        <w:pStyle w:val="Heading1"/>
        <w:keepLines w:val="0"/>
      </w:pPr>
      <w:r>
        <w:rPr>
          <w:rFonts w:ascii="Noto Sans" w:hAnsi="Noto Sans" w:eastAsia="Arial Unicode MS" w:cs="Noto Sans"/>
          <w:b w:val="0"/>
        </w:rPr>
        <w:t>4.1 Umstände, die für eine vorrangige Rückerstattung oder alternative Abhilfe in Frage kommen</w:t>
      </w:r>
    </w:p>
    <w:p>
      <w:pPr>
        <w:pStyle w:val="ListBullet"/>
        <w:keepLines w:val="0"/>
      </w:pPr>
      <w:r>
        <w:rPr>
          <w:rFonts w:ascii="Noto Sans" w:hAnsi="Noto Sans" w:eastAsia="Arial Unicode MS" w:cs="Noto Sans"/>
          <w:b w:val="0"/>
        </w:rPr>
        <w:t>Doppelte Belastungen oder die Erstellung doppelter Bestellungen aufgrund von System- oder Zahlungsanomalien, wobei die verdoppelten Beträge nicht zu zusätzlichen vom Benutzer behielten Rechten oder Vorteilen führen;</w:t>
      </w:r>
    </w:p>
    <w:p>
      <w:pPr>
        <w:pStyle w:val="ListBullet"/>
        <w:keepLines w:val="0"/>
      </w:pPr>
      <w:r>
        <w:rPr>
          <w:rFonts w:ascii="Noto Sans" w:hAnsi="Noto Sans" w:eastAsia="Arial Unicode MS" w:cs="Noto Sans"/>
          <w:b w:val="0"/>
        </w:rPr>
        <w:t>Die Zahlung wurde erfolgreich abgeschlossen, aber das Produkt wurde nicht innerhalb eines angemessenen Zeitraums geliefert, und das Problem kann nicht durch einen Ersatz behoben werden;</w:t>
      </w:r>
    </w:p>
    <w:p>
      <w:pPr>
        <w:pStyle w:val="ListBullet"/>
        <w:keepLines w:val="0"/>
      </w:pPr>
      <w:r>
        <w:rPr>
          <w:rFonts w:ascii="Noto Sans" w:hAnsi="Noto Sans" w:eastAsia="Arial Unicode MS" w:cs="Noto Sans"/>
          <w:b w:val="0"/>
        </w:rPr>
        <w:t>Der tatsächlich gelieferte Inhalt unterscheidet sich von dem, was auf der Produktkaufseite ausdrücklich offengelegt wurde;</w:t>
      </w:r>
    </w:p>
    <w:p>
      <w:pPr>
        <w:pStyle w:val="ListBullet"/>
        <w:keepLines w:val="0"/>
      </w:pPr>
      <w:r>
        <w:rPr>
          <w:rFonts w:ascii="Noto Sans" w:hAnsi="Noto Sans" w:eastAsia="Arial Unicode MS" w:cs="Noto Sans"/>
          <w:b w:val="0"/>
        </w:rPr>
        <w:t>Aufgrund technischer Störungen von DAWNBLOOM, die zu Bestellfehlern, abnormalen Verbrauch, falscher Aktivierung oder Unfähigkeit zur normalen Nutzung führen, und solche Probleme können nicht behoben werden, um die berechtigten Ansprüche des Benutzers wiederherzustellen;</w:t>
      </w:r>
    </w:p>
    <w:p>
      <w:pPr>
        <w:pStyle w:val="ListBullet"/>
        <w:keepLines w:val="0"/>
      </w:pPr>
      <w:r>
        <w:rPr>
          <w:rFonts w:ascii="Noto Sans" w:hAnsi="Noto Sans" w:eastAsia="Arial Unicode MS" w:cs="Noto Sans"/>
          <w:b w:val="0"/>
        </w:rPr>
        <w:t>Die Zahlung ist nicht autorisiert und geltende Gesetze, Regeln der Zahlungsnetzwerke oder gerichtliche oder behördliche Anforderungen verlangen eine Rückerstattung;</w:t>
      </w:r>
    </w:p>
    <w:p>
      <w:pPr>
        <w:pStyle w:val="ListBullet"/>
        <w:keepLines w:val="0"/>
      </w:pPr>
      <w:r>
        <w:rPr>
          <w:rFonts w:ascii="Noto Sans" w:hAnsi="Noto Sans" w:eastAsia="Arial Unicode MS" w:cs="Noto Sans"/>
          <w:b w:val="0"/>
        </w:rPr>
        <w:t>Sonstige Umstände gemäß den geltenden Gesetzen, die eine Rückerstattung, Stornierung, Kündigung oder einen gleichwertigen Rechtsbehelf erfordern.</w:t>
      </w:r>
    </w:p>
    <w:p>
      <w:pPr>
        <w:pStyle w:val="Heading1"/>
        <w:keepLines w:val="0"/>
      </w:pPr>
      <w:r>
        <w:rPr>
          <w:rFonts w:ascii="Noto Sans" w:hAnsi="Noto Sans" w:eastAsia="Arial Unicode MS" w:cs="Noto Sans"/>
          <w:b w:val="0"/>
        </w:rPr>
        <w:t>4.2 Allgemeine Umstände, die keine freiwillige Rückerstattung darstellen</w:t>
      </w:r>
    </w:p>
    <w:p>
      <w:pPr>
        <w:pStyle w:val="ListBullet"/>
        <w:keepLines w:val="0"/>
      </w:pPr>
      <w:r>
        <w:rPr>
          <w:rFonts w:ascii="Noto Sans" w:hAnsi="Noto Sans" w:eastAsia="Arial Unicode MS" w:cs="Noto Sans"/>
          <w:b w:val="0"/>
        </w:rPr>
        <w:t>Der Benutzer ändert lediglich seine Meinung nach dem Kauf, und die digitalen Güter wurden bereits sofort geliefert, aktiviert, beansprucht, verbraucht, getauscht, übertragen oder anderweitig wesentlich genutzt;</w:t>
      </w:r>
    </w:p>
    <w:p>
      <w:pPr>
        <w:pStyle w:val="ListBullet"/>
        <w:keepLines w:val="0"/>
      </w:pPr>
      <w:r>
        <w:rPr>
          <w:rFonts w:ascii="Noto Sans" w:hAnsi="Noto Sans" w:eastAsia="Arial Unicode MS" w:cs="Noto Sans"/>
          <w:b w:val="0"/>
        </w:rPr>
        <w:t>Der Benutzer beantragt nur dann eine Rückerstattung, weil er einen bestimmten erwarteten Gegenstand nicht erhalten hat, obwohl das Zufallsschatzkästchen gemäß der zum Zeitpunkt des Kaufs offengelegten tatsächlichen Wahrscheinlichkeit und Regeln ordnungsgemäß funktionierte;</w:t>
      </w:r>
    </w:p>
    <w:p>
      <w:pPr>
        <w:pStyle w:val="ListBullet"/>
        <w:keepLines w:val="0"/>
      </w:pPr>
      <w:r>
        <w:rPr>
          <w:rFonts w:ascii="Noto Sans" w:hAnsi="Noto Sans" w:eastAsia="Arial Unicode MS" w:cs="Noto Sans"/>
          <w:b w:val="0"/>
        </w:rPr>
        <w:t>Technische Probleme, die aus dem eigenen Gerät, Netzwerk, Plugins von Drittanbietern oder einem inoffiziellen Clienten des Benutzers entstehen, wobei das Produkt korrekt zugestellt wurde;</w:t>
      </w:r>
    </w:p>
    <w:p>
      <w:pPr>
        <w:pStyle w:val="ListBullet"/>
        <w:keepLines w:val="0"/>
      </w:pPr>
      <w:r>
        <w:rPr>
          <w:rFonts w:ascii="Noto Sans" w:hAnsi="Noto Sans" w:eastAsia="Arial Unicode MS" w:cs="Noto Sans"/>
          <w:b w:val="0"/>
        </w:rPr>
        <w:t>Gesetzwidrig oder gegen die Regeln erzielte Gewinne, Kopien von Gegenständen, Betrugsprämien oder betrügerische Erlöse, die dem Nutzer aufgrund eines Verstoßes gegen die „Spielerregeln und Durchsetzungsrichtlinien“ rechtmäßig oder regelkonform entzogen wurden;</w:t>
      </w:r>
    </w:p>
    <w:p>
      <w:pPr>
        <w:pStyle w:val="ListBullet"/>
        <w:keepLines w:val="0"/>
      </w:pPr>
      <w:r>
        <w:rPr>
          <w:rFonts w:ascii="Noto Sans" w:hAnsi="Noto Sans" w:eastAsia="Arial Unicode MS" w:cs="Noto Sans"/>
          <w:b w:val="0"/>
        </w:rPr>
        <w:t>Streitigkeiten, die aus Käufen über nicht autorisierte Kanäle, Third-Party-Aufladungen, schwarze Karten, unbefugte Kartenzahlungen, Weiterverkäufe durch Dritte oder andere nicht autorisierte Transaktionen entstehen.</w:t>
      </w:r>
    </w:p>
    <w:p>
      <w:pPr>
        <w:keepLines w:val="0"/>
      </w:pPr>
      <w:r>
        <w:rPr>
          <w:rFonts w:ascii="Noto Sans" w:hAnsi="Noto Sans" w:eastAsia="Arial Unicode MS" w:cs="Noto Sans"/>
          <w:b w:val="0"/>
        </w:rPr>
        <w:t>Die oben genannten „allgemeinen Umstände, die keine freiwillige Rückerstattung darstellen“, spiegeln lediglich die Standard-Geschäftsbedingungen für Rückerstattungen von DAWNBLOOM wider und schließen nicht die gesetzlichen Rechte des Benutzers auf Widerruf, Rückerstattung, Kündigung oder Schadensersatz nach geltendem Recht aus.</w:t>
      </w:r>
    </w:p>
    <w:p>
      <w:pPr>
        <w:pStyle w:val="Heading1"/>
        <w:keepLines w:val="0"/>
      </w:pPr>
      <w:r>
        <w:rPr>
          <w:rFonts w:ascii="Noto Sans" w:hAnsi="Noto Sans" w:eastAsia="Arial Unicode MS" w:cs="Noto Sans"/>
          <w:b w:val="0"/>
        </w:rPr>
        <w:t>4.3 Ungeöffnete/nicht genutzte digitale Güter</w:t>
      </w:r>
    </w:p>
    <w:p>
      <w:pPr>
        <w:keepLines w:val="0"/>
      </w:pPr>
      <w:r>
        <w:rPr>
          <w:rFonts w:ascii="Noto Sans" w:hAnsi="Noto Sans" w:eastAsia="Arial Unicode MS" w:cs="Noto Sans"/>
          <w:b w:val="0"/>
        </w:rPr>
        <w:t>Für digitale Güter, die direkt auf der offiziellen Website gekauft wurden und sich noch vollständig im Kaufkonto befinden, die nicht geöffnet, beansprucht, verwendet, getauscht oder übertragen wurden, können Benutzer einen Rückerstattungsantrag stellen. Wir werden prüfen, ob wir die Rückerstattung akzeptieren, basierend auf dem Zahlungsweg, dem Kaufzeitpunkt, der Art der Güter, der technischen Wiederherstellbarkeit und den geltenden lokalen Gesetzen. Wenn lokale Gesetze ein spezifischeres Recht auf Rückgabe oder Widerruf vorsehen, haben diese Vorrang.</w:t>
      </w:r>
    </w:p>
    <w:p>
      <w:pPr>
        <w:pStyle w:val="Heading1"/>
        <w:keepLines w:val="0"/>
      </w:pPr>
      <w:r>
        <w:rPr>
          <w:rFonts w:ascii="Noto Sans" w:hAnsi="Noto Sans" w:eastAsia="Arial Unicode MS" w:cs="Noto Sans"/>
          <w:b w:val="0"/>
        </w:rPr>
        <w:t>5. Spezielle Regeln für Zufallsbox-Artikel</w:t>
      </w:r>
    </w:p>
    <w:p>
      <w:pPr>
        <w:pStyle w:val="Heading1"/>
        <w:keepLines w:val="0"/>
      </w:pPr>
      <w:r>
        <w:rPr>
          <w:rFonts w:ascii="Noto Sans" w:hAnsi="Noto Sans" w:eastAsia="Arial Unicode MS" w:cs="Noto Sans"/>
          <w:b w:val="0"/>
        </w:rPr>
        <w:t>5.1 Offenlegung von Wahrscheinlichkeiten und Preispool</w:t>
      </w:r>
    </w:p>
    <w:p>
      <w:pPr>
        <w:keepLines w:val="0"/>
      </w:pPr>
      <w:r>
        <w:rPr>
          <w:rFonts w:ascii="Noto Sans" w:hAnsi="Noto Sans" w:eastAsia="Arial Unicode MS" w:cs="Noto Sans"/>
          <w:b w:val="0"/>
        </w:rPr>
        <w:t>Die Produktdetailseite für zufällige Schatztruhen muss vor dem Kauf potenzielle Inhalte, Wahrscheinlichkeiten oder Wahrscheinlichkeitsregeln, etwaige notwendige Floor-/Progressivmechanismen (falls zutreffend), Mengen- oder Seltenheitsspezifikationen, gültige Versionen und Datumsangaben klar anzeigen. Bei Änderungen der Regeln wird ein nachvollziehbares Managementsystem sowohl für die alte als auch für die neue Version eingeführt.</w:t>
      </w:r>
    </w:p>
    <w:p>
      <w:pPr>
        <w:keepLines w:val="0"/>
      </w:pPr>
      <w:r>
        <w:rPr>
          <w:rFonts w:ascii="Noto Sans" w:hAnsi="Noto Sans" w:eastAsia="Arial Unicode MS" w:cs="Noto Sans"/>
          <w:b w:val="0"/>
        </w:rPr>
        <w:t>Für bereits gekaufte digitale Güter, die unter einer bestimmten Version von Regeln betrieben werden, darf kein nicht offengelegter Backend-Mechanismus die festgelegten Wahrscheinlichkeitsregeln, die für diesen Auftrag gelten, in einer für den Benutzer nachteiligen Weise ändern.</w:t>
      </w:r>
    </w:p>
    <w:p>
      <w:pPr>
        <w:pStyle w:val="Heading1"/>
        <w:keepLines w:val="0"/>
      </w:pPr>
      <w:r>
        <w:rPr>
          <w:rFonts w:ascii="Noto Sans" w:hAnsi="Noto Sans" w:eastAsia="Arial Unicode MS" w:cs="Noto Sans"/>
          <w:b w:val="0"/>
        </w:rPr>
        <w:t>5.2 Rückerstattung nach Aktivierung</w:t>
      </w:r>
    </w:p>
    <w:p>
      <w:pPr>
        <w:keepLines w:val="0"/>
      </w:pPr>
      <w:r>
        <w:rPr>
          <w:rFonts w:ascii="Noto Sans" w:hAnsi="Noto Sans" w:eastAsia="Arial Unicode MS" w:cs="Noto Sans"/>
          <w:b w:val="0"/>
        </w:rPr>
        <w:t>Sobald ein zufälliger Schatzkoffer normal geöffnet und sein Ergebnis generiert wurde, stellt das Ergebnis selbst im Allgemeinen keinen gültigen Grund für eine Rückerstattung dar. Treten Probleme wie falsche Wahrscheinlichkeitsangaben, Inkonsistenzen zwischen der tatsächlichen Ziehlogik und den offengelegten Regeln, fehlerhafte Konfiguration des Gegenstandspools, systembedingte Überverbrauch oder andere Betriebsursachen auf, bieten wir angemessene Abhilfen – einschließlich Reparaturen, Entschädigungen, Nachlieferung oder Rückerstattungen – basierend auf dem Umfang der Auswirkungen, der technischen Wiederherstellbarkeit und den geltenden Gesetzen.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Gemäß den derzeit verfügbaren offiziellen Regulierungsdokumenten zu Online-Spielen in China unterliegt Gameplay mit zufälligen Belohnungen, das direkt die Einzahlung gesetzlicher Währung oder virtueller Spielwährung beinhaltet, expliziten regulatorischen Beschränkungen. Solche Mechanismen erfordern eine klare Offenlegung der Wahrscheinlichkeiten, Aufzeichnungsaufbewahrung und andere Compliance-Maßnahmen. Daher darf die Funktion „Direktzahlung für zufällige Schatzkoffer“ nicht allein auf Basis dieser Bestimmungen im Festlandchina eingeführt werden; vor dem offiziellen Verkauf muss eine spezielle rechtliche und Compliance-Prüfung durchgeführt werden. Wenn ein solcher Verkaufsmechanismus durch geltende Vorschriften verboten ist, muss die Funktion deaktiviert oder in einen alternativen Beschaffungsmechanismus umgewandelt werden, der unabhängig als konform verifiziert wurde.</w:t>
            </w:r>
          </w:p>
        </w:tc>
      </w:tr>
    </w:tbl>
    <w:p>
      <w:pPr>
        <w:spacing w:after="40"/>
      </w:pPr>
    </w:p>
    <w:p>
      <w:pPr>
        <w:pStyle w:val="Heading1"/>
        <w:keepLines w:val="0"/>
      </w:pPr>
      <w:r>
        <w:rPr>
          <w:rFonts w:ascii="Noto Sans" w:hAnsi="Noto Sans" w:eastAsia="Arial Unicode MS" w:cs="Noto Sans"/>
          <w:b w:val="0"/>
        </w:rPr>
        <w:t>5.3 Aufbewahrung von Aufzeichnungen und Streitverifikation</w:t>
      </w:r>
    </w:p>
    <w:p>
      <w:pPr>
        <w:keepLines w:val="0"/>
      </w:pPr>
      <w:r>
        <w:rPr>
          <w:rFonts w:ascii="Noto Sans" w:hAnsi="Noto Sans" w:eastAsia="Arial Unicode MS" w:cs="Noto Sans"/>
          <w:b w:val="0"/>
        </w:rPr>
        <w:t>Bei zufallstypischen Waren behalten wir notwendige Bestellunterlagen, Versionsinformationen, Öffnungsergebnisse und Wahrscheinlichkeitsregeln für den Zeitraum bei, der von den geltenden Gesetzen und technischen Bedingungen vorgeschrieben ist, zu Zwecken von Audits, behördlichen Anfragen, Kundenservice-Streitigkeiten und Streitbeilegung. In der Region Festlandchina darf die Aufbewahrungsfrist für zufallsausgewählte Aufzeichnungen sowie Zahlungs-/Aufladetransaktionsaufzeichnungen, sofern sie relevanten öffentlichen Regulierungsanforderungen unterliegt, die gesetzlichen oder regulatorischen Anforderungen nicht unterschreiten.</w:t>
      </w:r>
    </w:p>
    <w:p>
      <w:pPr>
        <w:pStyle w:val="Heading1"/>
        <w:keepLines w:val="0"/>
      </w:pPr>
      <w:r>
        <w:rPr>
          <w:rFonts w:ascii="Noto Sans" w:hAnsi="Noto Sans" w:eastAsia="Arial Unicode MS" w:cs="Noto Sans"/>
          <w:b w:val="0"/>
        </w:rPr>
        <w:t>6. Rückerstattung für Bestellungen auf Plattformen Dritter</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Für In-App-Käufe über den Apple App Store wird empfohlen, Erstattungsanträge über das von Apple bereitgestellte Erstattungsportal oder durch Kontaktaufnahme mit dem Apple-Kundenservice zu stellen. Die Entscheidung über die Genehmigung einer Erstattung, der Zeitpunkt der Erstattung und der Erstattungsprozess werden von Apple gemäß seinen eigenen Regeln, den Bestelldetails und den geltenden Gesetzen festgelegt. DAWNBLOOM Upon receiving notification of a refund from the App Store, DAWNBLOOM may, in accordance with the law and its internal rules, revoke the corresponding digital rights associated with such refund order. -&gt; DAWNBLOOM Nach Erhalt einer Benachrichtigung über eine Erstattung vom App Store kann DAWNBLOOM gemäß Gesetz und internen Regeln die entsprechenden digitalen Rechte, die mit dieser Erstattungsbestellung verbunden sind, widerrufen.</w:t>
      </w:r>
    </w:p>
    <w:p>
      <w:pPr>
        <w:keepLines w:val="0"/>
      </w:pPr>
      <w:r>
        <w:rPr>
          <w:rFonts w:ascii="Noto Sans" w:hAnsi="Noto Sans" w:eastAsia="Arial Unicode MS" w:cs="Noto Sans"/>
          <w:b w:val="0"/>
        </w:rPr>
        <w:t>Die Plattformprovision oder Servicegebühren von Apple sind Teil der Abmachungsvereinbarung zwischen dem Entwickler und Apple und stellen keine Rechtfertigung dar, die Rückerstattungen für Benutzer zu einem festen Satz wie 70 % abzuziehen.</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Für das Basisspiel, DLC oder In-Game-Items, die über Steam gekauft wurden, müssen Rückerstattungen über den Steam-Kundenservice und dessen Rückerstattungssystem beantragt werden. Steam bietet in der Regel ein 14-tägiges Rückgaberecht für das Basisspiel, vorausgesetzt der Spieler hat weniger als zwei Stunden gespielt; die Berechtigung und spezifischen Bedingungen für In-Game-Käufe hängen von den Richtlinien von Steam ab und davon, ob der Entwickler Rückerstattungen für das jeweilige Element aktiviert hat. Tatsächliche Rückerstattungsrichtlinien unterliegen den aktuell auf Steam angezeigten Regeln und Seiteninformationen.</w:t>
      </w:r>
    </w:p>
    <w:p>
      <w:pPr>
        <w:pStyle w:val="Heading1"/>
        <w:keepLines w:val="0"/>
      </w:pPr>
      <w:r>
        <w:rPr>
          <w:rFonts w:ascii="Noto Sans" w:hAnsi="Noto Sans" w:eastAsia="Arial Unicode MS" w:cs="Noto Sans"/>
          <w:b w:val="0"/>
        </w:rPr>
        <w:t>6.3 Google Play (falls zukünftige Integration erfolgt)</w:t>
      </w:r>
    </w:p>
    <w:p>
      <w:pPr>
        <w:keepLines w:val="0"/>
      </w:pPr>
      <w:r>
        <w:rPr>
          <w:rFonts w:ascii="Noto Sans" w:hAnsi="Noto Sans" w:eastAsia="Arial Unicode MS" w:cs="Noto Sans"/>
          <w:b w:val="0"/>
        </w:rPr>
        <w:t>Sollten zukünftig In-App-Käufe über Google Play angeboten werden, unterliegen solche Rückerstattungen den Rückerstattungsrichtlinien von Google Play. Google Play kann Rückerstattungsanfragen für bestimmte Apps, Spiele oder In-App-Käufe innerhalb von 48 Stunden nach dem Kauf ermöglichen; nach diesem Zeitraum müssen Benutzer möglicherweise direkt mit dem Entwickler Kontakt aufnehmen. Spezifische Bedingungen und Konditionen richten sich nach den dann aktuellen Richtlinien von Google Play und dem anwendbaren Recht.</w:t>
      </w:r>
    </w:p>
    <w:p>
      <w:pPr>
        <w:pStyle w:val="Heading1"/>
        <w:keepLines w:val="0"/>
      </w:pPr>
      <w:r>
        <w:rPr>
          <w:rFonts w:ascii="Noto Sans" w:hAnsi="Noto Sans" w:eastAsia="Arial Unicode MS" w:cs="Noto Sans"/>
          <w:b w:val="0"/>
        </w:rPr>
        <w:t>6.4 Plattformbestellungen und Bestellungen auf der offiziellen Website sind getrennt</w:t>
      </w:r>
    </w:p>
    <w:p>
      <w:pPr>
        <w:keepLines w:val="0"/>
      </w:pPr>
      <w:r>
        <w:rPr>
          <w:rFonts w:ascii="Noto Sans" w:hAnsi="Noto Sans" w:eastAsia="Arial Unicode MS" w:cs="Noto Sans"/>
          <w:b w:val="0"/>
        </w:rPr>
        <w:t>Jeder Zahlungs- und Vertriebskanal führt seine eigene Bestellnummer und sein Abrechnungssystem. Der Kundenservice der offiziellen Website kann Apple, Steam oder Google nicht bei plattformseitigen Rückerstattungsentscheidungen für Bestellungen auf ihren jeweiligen Plattformen vertreten; wir werden jedoch notwendige Unterstützung leisten – wie Lieferstatus, Verbrauchsstatus und technische Überprüfung – im Rahmen der gesetzlichen und plattformseitigen Regeln.</w:t>
      </w:r>
    </w:p>
    <w:p>
      <w:pPr>
        <w:pStyle w:val="Heading1"/>
        <w:keepLines w:val="0"/>
      </w:pPr>
      <w:r>
        <w:rPr>
          <w:rFonts w:ascii="Noto Sans" w:hAnsi="Noto Sans" w:eastAsia="Arial Unicode MS" w:cs="Noto Sans"/>
          <w:b w:val="0"/>
        </w:rPr>
        <w:t>7. Minderjährige und unbefugte Käufe</w:t>
      </w:r>
    </w:p>
    <w:p>
      <w:pPr>
        <w:keepLines w:val="0"/>
      </w:pPr>
      <w:r>
        <w:rPr>
          <w:rFonts w:ascii="Noto Sans" w:hAnsi="Noto Sans" w:eastAsia="Arial Unicode MS" w:cs="Noto Sans"/>
          <w:b w:val="0"/>
        </w:rPr>
        <w:t>Der Dienst ist für Erwachsene ab 18 Jahren bestimmt. Ein Erziehungsberechtigter kann eine Überprüfung eines von einem Minderjährigen ohne gültige Zustimmung oder Autorisierung getätigten Kaufs beantragen. Wir bewerten das Gesetz, die Geschäftsfähigkeit, Bestelldaten, das Betreuungsverhältnis, Plattformregeln und die tatsächliche Nutzung. Das betroffene Spielkonto wird nur dann einer dauerhaften Einschränkung des Spieldienstes unterzogen, nachdem der minderjährigenbezogene Kauf verifiziert wurde, eine vollständige oder im Wesentlichen vollständige Rückerstattung genehmigt wurde und diese Rückerstattung tatsächlich abgeschlossen ist. Ein Antrag, der noch geprüft wird, eine teilweise Rückerstattung oder eine gewöhnliche Rückerstattung löst dies nicht aus.</w:t>
      </w:r>
    </w:p>
    <w:p>
      <w:pPr>
        <w:pStyle w:val="Heading1"/>
        <w:keepLines w:val="0"/>
      </w:pPr>
      <w:r>
        <w:rPr>
          <w:rFonts w:ascii="Noto Sans" w:hAnsi="Noto Sans" w:eastAsia="Arial Unicode MS" w:cs="Noto Sans"/>
          <w:b w:val="0"/>
        </w:rPr>
        <w:t>7.1 Antragsunterlagen und Prinzip der minimalen Notwendigkeit</w:t>
      </w:r>
    </w:p>
    <w:p>
      <w:pPr>
        <w:keepLines w:val="0"/>
      </w:pPr>
      <w:r>
        <w:rPr>
          <w:rFonts w:ascii="Noto Sans" w:hAnsi="Noto Sans" w:eastAsia="Arial Unicode MS" w:cs="Noto Sans"/>
          <w:b w:val="0"/>
        </w:rPr>
        <w:t>Wir können erforderliche Unterlagen anfordern, um Bestellungen, Konten, das Alter von Minderjährigen, Betreuungsverhältnisse und unbefugte Handlungen zu überprüfen. Benutzer können sensible Informationen, die für den Überprüfungs Zweck irrelevant sind, verschleiern oder verarbeiten. Wir werden Identifikationsnummern vollständig oder Identitätsfotos nicht unangemessen für einen längeren Zeitraum im Zusammenhang mit der Bearbeitung von Rückerstattungen für Minderjährige aufbewahren.</w:t>
      </w:r>
    </w:p>
    <w:p>
      <w:pPr>
        <w:pStyle w:val="Heading1"/>
        <w:keepLines w:val="0"/>
      </w:pPr>
      <w:r>
        <w:rPr>
          <w:rFonts w:ascii="Noto Sans" w:hAnsi="Noto Sans" w:eastAsia="Arial Unicode MS" w:cs="Noto Sans"/>
          <w:b w:val="0"/>
        </w:rPr>
        <w:t>7.2 Es wird kein fester Rückerstattungsdeckel von 70 % festgelegt</w:t>
      </w:r>
    </w:p>
    <w:p>
      <w:pPr>
        <w:keepLines w:val="0"/>
      </w:pPr>
      <w:r>
        <w:rPr>
          <w:rFonts w:ascii="Noto Sans" w:hAnsi="Noto Sans" w:eastAsia="Arial Unicode MS" w:cs="Noto Sans"/>
          <w:b w:val="0"/>
        </w:rPr>
        <w:t>Erstattungen für geringfügige Käufe unterliegen keiner festen Obergrenze von 70 % und keinem automatischen Abzug für Plattformgebühren. Genehmigte Erstattungen erfolgen in der ursprünglichen Transaktionswährung und dem tatsächlich gezahlten Betrag, ohne Neuberechnung zum Wechselkurs des Erstattungstags. Die nachfolgende Einschränkung des Spielkontos reduziert keine gesetzlich genehmigten Erstattungen.</w:t>
      </w:r>
    </w:p>
    <w:p>
      <w:pPr>
        <w:pStyle w:val="Heading1"/>
        <w:keepLines w:val="0"/>
      </w:pPr>
      <w:r>
        <w:rPr>
          <w:rFonts w:ascii="Noto Sans" w:hAnsi="Noto Sans" w:eastAsia="Arial Unicode MS" w:cs="Noto Sans"/>
          <w:b w:val="0"/>
        </w:rPr>
        <w:t>7.3 Region Festlandchina</w:t>
      </w:r>
    </w:p>
    <w:p>
      <w:pPr>
        <w:keepLines w:val="0"/>
      </w:pPr>
      <w:r>
        <w:rPr>
          <w:rFonts w:ascii="Noto Sans" w:hAnsi="Noto Sans" w:eastAsia="Arial Unicode MS" w:cs="Noto Sans"/>
          <w:b w:val="0"/>
        </w:rPr>
        <w:t>Streitigkeiten bezüglich des Konsums Minderjähriger im Festlandchina werden gemäß dem Zivilgesetzbuch, den Verbraucherschutzvorschriften, den Anforderungen zum Schutz Minderjähriger bei Online-Spielen sowie der Rechtsprechung behandelt. In Fällen, in denen nachgewiesen werden kann, dass die betreffende Person ein Minderjähriger ist, der ohne Zustimmung eines gesetzlichen Vertreters Einkäufe getätigt hat und dessen Ausgaben sein Alter und seine kognitive Fähigkeit erheblich übersteigen, werden wir entsprechend den gesetzlichen Erfordernissen mit rechtlichen Maßnahmen zusammenarbeiten. Wenn gesetzliche Vertreter Zahlungsmittel nicht ordnungsgemäß verwalten, Konten teilen oder langfristige Fahrlässigkeit an den Tag legen, kann ein solches Verhalten in den Bereich der Haftungsbeurteilung fallen.</w:t>
      </w:r>
    </w:p>
    <w:p>
      <w:pPr>
        <w:pStyle w:val="Heading1"/>
        <w:keepLines w:val="0"/>
      </w:pPr>
      <w:r>
        <w:rPr>
          <w:rFonts w:ascii="Noto Sans" w:hAnsi="Noto Sans" w:eastAsia="Arial Unicode MS" w:cs="Noto Sans"/>
          <w:b w:val="0"/>
        </w:rPr>
        <w:t>7.4 Vereinigte Staaten und Japan</w:t>
      </w:r>
    </w:p>
    <w:p>
      <w:pPr>
        <w:keepLines w:val="0"/>
      </w:pPr>
      <w:r>
        <w:rPr>
          <w:rFonts w:ascii="Noto Sans" w:hAnsi="Noto Sans" w:eastAsia="Arial Unicode MS" w:cs="Noto Sans"/>
          <w:b w:val="0"/>
        </w:rPr>
        <w:t>Käufe von US-Benutzern ohne Autorisierung oder aufgrund versehentlicher Käufe durch Familienangehörige werden gemäß den Regeln der Zahlungsplattform, den anwendbaren Landesgesetzen und den bundesweiten Verbraucherschutzvorschriften behandelt. In der Region Japan gelten Personen ab 18 Jahren als volljährig; Verträge, die von Personen unter 18 Jahren ohne Zustimmung eines gesetzlichen Vertreters geschlossen wurden, sowie damit verbundene Rücktrittsrechte, unterliegen dem japanischen Zivilgesetzbuch und den Verbraucherschutzvorschriften.</w:t>
      </w:r>
    </w:p>
    <w:p>
      <w:pPr>
        <w:pStyle w:val="Heading1"/>
        <w:keepLines w:val="0"/>
      </w:pPr>
      <w:r>
        <w:rPr>
          <w:rFonts w:ascii="Noto Sans" w:hAnsi="Noto Sans" w:eastAsia="Arial Unicode MS" w:cs="Noto Sans"/>
          <w:b w:val="0"/>
        </w:rPr>
        <w:t>8. Unbefugte Zahlungen, betrügerische Transaktionen und Streitigkeiten (Lastschriftrückbuchungen)</w:t>
      </w:r>
    </w:p>
    <w:p>
      <w:pPr>
        <w:keepLines w:val="0"/>
      </w:pPr>
      <w:r>
        <w:rPr>
          <w:rFonts w:ascii="Noto Sans" w:hAnsi="Noto Sans" w:eastAsia="Arial Unicode MS" w:cs="Noto Sans"/>
          <w:b w:val="0"/>
        </w:rPr>
        <w:t>Wenn Sie verdächtige unbefugte Transaktionen, unbefugte Zahlungen oder die unbefugte Nutzung Ihres Zahlungsaccounts feststellen, wenden Sie sich bitte umgehend an den Zahlungsanbieter und den DAWNBLOOM-Kundenservice und nennen Sie die Bestellnummer sowie alle relevanten Details. Für Bestellungen, die über Drittplattformen wie Bankkarten, Apple, Google oder Steam aufgegeben wurden, müssen Sie zudem einen Streitfall gemäß den von der jeweiligen Zahlungsnetzwerk- oder Plattform vorgegebenen Fristen einreichen.</w:t>
      </w:r>
    </w:p>
    <w:p>
      <w:pPr>
        <w:keepLines w:val="0"/>
      </w:pPr>
      <w:r>
        <w:rPr>
          <w:rFonts w:ascii="Noto Sans" w:hAnsi="Noto Sans" w:eastAsia="Arial Unicode MS" w:cs="Noto Sans"/>
          <w:b w:val="0"/>
        </w:rPr>
      </w:r>
    </w:p>
    <w:p>
      <w:pPr>
        <w:keepLines w:val="0"/>
      </w:pPr>
      <w:r>
        <w:rPr>
          <w:rFonts w:ascii="Noto Sans" w:hAnsi="Noto Sans" w:eastAsia="Arial Unicode MS" w:cs="Noto Sans"/>
          <w:b w:val="0"/>
        </w:rPr>
        <w:t xml:space="preserve">@dawnbloom.net  </w:t>
      </w:r>
    </w:p>
    <w:p>
      <w:pPr>
        <w:keepLines w:val="0"/>
      </w:pPr>
      <w:hyperlink r:id="rId13">
        <w:r>
          <w:rPr>
            <w:rFonts w:ascii="Noto Sans" w:hAnsi="Noto Sans" w:eastAsia="Arial Unicode MS"/>
            <w:b w:val="0"/>
          </w:rPr>
          <w:t xml:space="preserve">https://www.dawnbloom.net/support</w:t>
        </w:r>
      </w:hyperlink>
      <w:r>
        <w:rPr>
          <w:rFonts w:ascii="Noto Sans" w:hAnsi="Noto Sans" w:eastAsia="Arial Unicode MS" w:cs="Noto Sans"/>
          <w:b w:val="0"/>
        </w:rPr>
        <w:t xml:space="preserve">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Ein gutgläubiger Erstattungsanspruch oder eine echte Zahlungsstreitigkeit ist an sich kein Grund für eine Spielsanktion. Ansprüche, die mit einem streitigen Auftrag verbunden sind, können während der Prüfung geschützt bleiben. Nur die in Abschnitt 7 beschriebene und bestätigte vollständige oder nahezu vollständige erstattung im Zusammenhang mit Minderjährigen löst die separate Einschränkung des Spieldienstes aus; andere Erstattungen führen nicht automatisch zu einem permanenten Verbot.</w:t>
      </w:r>
    </w:p>
    <w:p>
      <w:pPr>
        <w:keepLines w:val="0"/>
      </w:pPr>
      <w:r>
        <w:rPr>
          <w:rFonts w:ascii="Noto Sans" w:hAnsi="Noto Sans" w:eastAsia="Arial Unicode MS" w:cs="Noto Sans"/>
          <w:b w:val="0"/>
        </w:rPr>
        <w:t>Wenn Beweise eine vorsätzliche falsche Nichtzahlung, Käufe mit schwarzen Karten, die Übertragung/den Abzug virtueller Vermögenswerte nach der Rückerstattung, betrügerische Absprachen oder andere missbräuchliche Nutzung des Rückerstattungsmechanismus bestätigen, wird ein solches Verhalten gemäß den „Spielregeln und Durchsetzungsrichtlinie“ und geltenden Vorschriften behandelt, wobei das Unternehmen sich das Recht vorbehält, rechtliche Schritte einzuleiten, Transaktionsbeschränkungen vorzunehmen und entsprechende rechtliche Verpflichtungen zu tragen.</w:t>
      </w:r>
    </w:p>
    <w:p>
      <w:pPr>
        <w:pStyle w:val="Heading1"/>
        <w:keepLines w:val="0"/>
      </w:pPr>
      <w:r>
        <w:rPr>
          <w:rFonts w:ascii="Noto Sans" w:hAnsi="Noto Sans" w:eastAsia="Arial Unicode MS" w:cs="Noto Sans"/>
          <w:b w:val="0"/>
        </w:rPr>
        <w:t>9. Wiederherstellung virtueller Rechte und Datenanpassung nach der Rückerstattung</w:t>
      </w:r>
    </w:p>
    <w:p>
      <w:pPr>
        <w:keepLines w:val="0"/>
      </w:pPr>
      <w:r>
        <w:rPr>
          <w:rFonts w:ascii="Noto Sans" w:hAnsi="Noto Sans" w:eastAsia="Arial Unicode MS" w:cs="Noto Sans"/>
          <w:b w:val="0"/>
        </w:rPr>
        <w:t>Bei einer vollständigen oder teilweisen Rückerstattung, Stornierung, Ablehnung der Zahlung oder Rückabwicklung einer Transaktion behält sich der Betreiber das Recht vor, entsprechende digitale Berechtigungen im gesetzlich und plattformreglementär erlaubten Umfang zu entziehen, um zu verhindern, dass Nutzer sowohl den erstatteten Betrag als auch die entsprechenden digitalen Güter behalten.</w:t>
      </w:r>
    </w:p>
    <w:p>
      <w:pPr>
        <w:pStyle w:val="ListBullet"/>
        <w:keepLines w:val="0"/>
      </w:pPr>
      <w:r>
        <w:rPr>
          <w:rFonts w:ascii="Noto Sans" w:hAnsi="Noto Sans" w:eastAsia="Arial Unicode MS" w:cs="Noto Sans"/>
          <w:b w:val="0"/>
        </w:rPr>
        <w:t>Nicht geöffnete oder nicht genutzte Kisten oder Gegenstände können direkt vom Kaufkonto eingezogen werden;</w:t>
      </w:r>
    </w:p>
    <w:p>
      <w:pPr>
        <w:pStyle w:val="ListBullet"/>
        <w:keepLines w:val="0"/>
      </w:pPr>
      <w:r>
        <w:rPr>
          <w:rFonts w:ascii="Noto Sans" w:hAnsi="Noto Sans" w:eastAsia="Arial Unicode MS" w:cs="Noto Sans"/>
          <w:b w:val="0"/>
        </w:rPr>
        <w:t>Gegenstände, die getauscht oder in andere virtuelle Gegenstände, Währungen, Attribute oder Dienste umgewandelt wurden, können hinsichtlich ihrer direkt identifizierbaren Derivate eingezogen werden;</w:t>
      </w:r>
    </w:p>
    <w:p>
      <w:pPr>
        <w:pStyle w:val="ListBullet"/>
        <w:keepLines w:val="0"/>
      </w:pPr>
      <w:r>
        <w:rPr>
          <w:rFonts w:ascii="Noto Sans" w:hAnsi="Noto Sans" w:eastAsia="Arial Unicode MS" w:cs="Noto Sans"/>
          <w:b w:val="0"/>
        </w:rPr>
        <w:t>Wenn ein direktes Derivat bereits verbraucht wurde oder einen komplexen Transfer beinhaltet, kann eine äquivalente Rückgewinnung auf Basis eines überprüfbaren tatsächlichen Werts, die Einfrierung damit verbundener Gegenstände, die Einschränkung damit zusammenhängender Transaktionen oder die Anpassung entsprechender Werte erfolgen;</w:t>
      </w:r>
    </w:p>
    <w:p>
      <w:pPr>
        <w:pStyle w:val="ListBullet"/>
        <w:keepLines w:val="0"/>
      </w:pPr>
      <w:r>
        <w:rPr>
          <w:rFonts w:ascii="Noto Sans" w:hAnsi="Noto Sans" w:eastAsia="Arial Unicode MS" w:cs="Noto Sans"/>
          <w:b w:val="0"/>
        </w:rPr>
        <w:t>Für unschuldige Drittparteien-Spieler, für die keine Beweise für eine Beteiligung an Betrug vorliegen und deren Transaktionen nicht mit Rückerstattungsbestellungen zusammenhängen, werden keine Strafen verhängt, allein weil sie Gegenstände aus normalen Transaktionen erhalten haben; jedoch können anomale Transaktionsketten, kopierte Gegenstände oder Gewinne aus Betrug separat gemäß den „Spielregeln und Durchsetzungsrichtlinie“ untersucht werden.</w:t>
      </w:r>
    </w:p>
    <w:p>
      <w:pPr>
        <w:keepLines w:val="0"/>
      </w:pPr>
      <w:r>
        <w:rPr>
          <w:rFonts w:ascii="Noto Sans" w:hAnsi="Noto Sans" w:eastAsia="Arial Unicode MS" w:cs="Noto Sans"/>
          <w:b w:val="0"/>
        </w:rPr>
        <w:t>“ durchgeführt. Die Einziehung von Berechtigungen betrifft die Rückerstattungsbestellung und nachverfolgbare damit verbundene Erträge, ohne die gesetzlich geschuldeten Rückerstattungen zu verringern. Nach Abschluss der in Abschnitt 7 beschriebenen kleinen Rückerstattung erhält das betreffende Spielkonto ebenfalls eine dauerhafte Dienstleistungsbeschränkung, um weitere Käufe, virtuelle Handelsaktivitäten und damit verbundene Streitigkeiten zu verhindern. Andere DAWNBLOOM-Konto-Apps sind nicht automatisch beschränkt.</w:t>
      </w:r>
    </w:p>
    <w:p>
      <w:pPr>
        <w:pStyle w:val="Heading1"/>
        <w:keepLines w:val="0"/>
      </w:pPr>
      <w:r>
        <w:rPr>
          <w:rFonts w:ascii="Noto Sans" w:hAnsi="Noto Sans" w:eastAsia="Arial Unicode MS" w:cs="Noto Sans"/>
          <w:b w:val="0"/>
        </w:rPr>
        <w:t>10. Prozess zur Beantragung einer Rückerstattung auf der offiziellen Website</w:t>
      </w:r>
    </w:p>
    <w:p>
      <w:pPr>
        <w:keepLines w:val="0"/>
      </w:pPr>
      <w:r>
        <w:rPr>
          <w:rFonts w:ascii="Noto Sans" w:hAnsi="Noto Sans" w:eastAsia="Arial Unicode MS" w:cs="Noto Sans"/>
          <w:b w:val="0"/>
        </w:rPr>
        <w:t>DAWNBLOOM Fairy kann die offiziellen Zugänge für Bestellungen, Erstattungen und Beschwerden erläutern; KI-Antworten stellen weder das Zustandekommen einer Bestellung noch eine Erstattungsbewilligung, eine Wiederherstellung von Vermögenswerten oder das Ergebnis einer Ersatzlieferung dar. Angelegenheiten zu konkreten Bestellungen und Zahlungsinformationen müssen von der betroffenen Person über die offiziellen Verifizierungs- und Kundendienstprüfverfahren bearbeitet werden. Für die tatsächlichen Bearbeitungsergebnisse und gesetzlichen Erstattungsrechte bleiben die bestehenden Regeln dieses Dokuments und das anwendbare Recht maßgeblich.</w:t>
      </w:r>
    </w:p>
    <w:p>
      <w:pPr>
        <w:pStyle w:val="Heading1"/>
        <w:keepLines w:val="0"/>
      </w:pPr>
      <w:r>
        <w:rPr>
          <w:rFonts w:ascii="Noto Sans" w:hAnsi="Noto Sans" w:eastAsia="Arial Unicode MS" w:cs="Noto Sans"/>
          <w:b w:val="0"/>
        </w:rPr>
        <w:t>10.1 Antragskanäle</w:t>
      </w:r>
    </w:p>
    <w:p>
      <w:pPr>
        <w:keepLines w:val="0"/>
      </w:pPr>
      <w:r>
        <w:rPr>
          <w:rFonts w:ascii="Noto Sans" w:hAnsi="Noto Sans" w:eastAsia="Arial Unicode MS" w:cs="Noto Sans"/>
          <w:b w:val="0"/>
        </w:rPr>
        <w:t xml:space="preserve">Für Bestellungen auf der offiziellen Website sind Zahlungs-, Rechnungsstellungs- und Rückerstattungsanfragen an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zu richten; allgemeine Anfragen können an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gerichtet werden. Für Bestellungen über Drittplattformen sollten Benutzer, wenn die Plattform einen dedizierten Rückerstattungskanal bereitstellt, diesen vorrangig nutzen.</w:t>
      </w:r>
    </w:p>
    <w:p>
      <w:pPr>
        <w:pStyle w:val="Heading1"/>
        <w:keepLines w:val="0"/>
      </w:pPr>
      <w:r>
        <w:rPr>
          <w:rFonts w:ascii="Noto Sans" w:hAnsi="Noto Sans" w:eastAsia="Arial Unicode MS" w:cs="Noto Sans"/>
          <w:b w:val="0"/>
        </w:rPr>
        <w:t>10.2 Empfohlene bereitzustellende Informationen</w:t>
      </w:r>
    </w:p>
    <w:p>
      <w:pPr>
        <w:pStyle w:val="ListBullet"/>
        <w:keepLines w:val="0"/>
      </w:pPr>
      <w:r>
        <w:rPr>
          <w:rFonts w:ascii="Noto Sans" w:hAnsi="Noto Sans" w:eastAsia="Arial Unicode MS" w:cs="Noto Sans"/>
          <w:b w:val="0"/>
        </w:rPr>
        <w:t>Das DAWNBLOOM-Konto oder jegliche erforderlichen Konto-Identifikatoren zur Lokalisierung der Bestellung;</w:t>
      </w:r>
    </w:p>
    <w:p>
      <w:pPr>
        <w:pStyle w:val="ListBullet"/>
        <w:keepLines w:val="0"/>
      </w:pPr>
      <w:r>
        <w:rPr>
          <w:rFonts w:ascii="Noto Sans" w:hAnsi="Noto Sans" w:eastAsia="Arial Unicode MS" w:cs="Noto Sans"/>
          <w:b w:val="0"/>
        </w:rPr>
        <w:t>Bestellnummer, Kaufdatum, Produktname und Zahlungschannel;</w:t>
      </w:r>
    </w:p>
    <w:p>
      <w:pPr>
        <w:pStyle w:val="ListBullet"/>
        <w:keepLines w:val="0"/>
      </w:pPr>
      <w:r>
        <w:rPr>
          <w:rFonts w:ascii="Noto Sans" w:hAnsi="Noto Sans" w:eastAsia="Arial Unicode MS" w:cs="Noto Sans"/>
          <w:b w:val="0"/>
        </w:rPr>
        <w:t>Grund für die Rückerstattung sowie relevante Screenshots oder Zahlungsbelege (falls verfügbar);</w:t>
      </w:r>
    </w:p>
    <w:p>
      <w:pPr>
        <w:pStyle w:val="ListBullet"/>
        <w:keepLines w:val="0"/>
      </w:pPr>
      <w:r>
        <w:rPr>
          <w:rFonts w:ascii="Noto Sans" w:hAnsi="Noto Sans" w:eastAsia="Arial Unicode MS" w:cs="Noto Sans"/>
          <w:b w:val="0"/>
        </w:rPr>
        <w:t>Bei einem minderjährigenbezogenen Anspruch sollte der Erziehungsberechtigte nur die zur Verifizierung von Alter, Vormundschaft, Anordnungen und fehlender Genehmigung erforderlichen Informationen bereitstellen. Vor der Einreichung ist klar offenzulegen, dass ein genehmigter und abgeschlossener vollständiger oder im Wesentlichen vollständiger Ersatz die normale Spielserviceleistung für das betreffende Konto dauerhaft beendet; normales Gameplay kann dies nicht wiederherstellen. Dies reduziert den genehmigten Rückerstattungsbetrag nicht.</w:t>
      </w:r>
    </w:p>
    <w:p>
      <w:pPr>
        <w:pStyle w:val="ListBullet"/>
        <w:keepLines w:val="0"/>
      </w:pPr>
      <w:r>
        <w:rPr>
          <w:rFonts w:ascii="Noto Sans" w:hAnsi="Noto Sans" w:eastAsia="Arial Unicode MS" w:cs="Noto Sans"/>
          <w:b w:val="0"/>
        </w:rPr>
        <w:t>Alle weiteren minimalen und vernünftigen Informationen, die vom Kundenservice angefordert werden.</w:t>
      </w:r>
    </w:p>
    <w:p>
      <w:pPr>
        <w:pStyle w:val="Heading1"/>
        <w:keepLines w:val="0"/>
      </w:pPr>
      <w:r>
        <w:rPr>
          <w:rFonts w:ascii="Noto Sans" w:hAnsi="Noto Sans" w:eastAsia="Arial Unicode MS" w:cs="Noto Sans"/>
          <w:b w:val="0"/>
        </w:rPr>
        <w:t>10.3 Prüfungszeitraum</w:t>
      </w:r>
    </w:p>
    <w:p>
      <w:pPr>
        <w:keepLines w:val="0"/>
      </w:pPr>
      <w:r>
        <w:rPr>
          <w:rFonts w:ascii="Noto Sans" w:hAnsi="Noto Sans" w:eastAsia="Arial Unicode MS" w:cs="Noto Sans"/>
          <w:b w:val="0"/>
        </w:rPr>
        <w:t>Unter normalen Umständen vervollständigen wir die Erstprüfung oder benachrichtigen über zusätzliche benötigte Informationen innerhalb von 10 Werktagen, wenn die erforderlichen Unterlagen im Wesentlichen vollständig sind. Fälle mit komplexem Account-Diebstahl, Minderjährigen, plattformübergreifenden Aktivitäten, Zahlungsablehnung oder abnormalen Transaktionen können einen längeren Bearbeitungszeitraum erfordern. Das endgültige Abrechnungsdatum wird von der Zahlungsinstitution, Bank oder Plattform bestimmt.</w:t>
      </w:r>
    </w:p>
    <w:p>
      <w:pPr>
        <w:pStyle w:val="Heading1"/>
        <w:keepLines w:val="0"/>
      </w:pPr>
      <w:r>
        <w:rPr>
          <w:rFonts w:ascii="Noto Sans" w:hAnsi="Noto Sans" w:eastAsia="Arial Unicode MS" w:cs="Noto Sans"/>
          <w:b w:val="0"/>
        </w:rPr>
        <w:t>10.4 Rückerstattungsroute</w:t>
      </w:r>
    </w:p>
    <w:p>
      <w:pPr>
        <w:keepLines w:val="0"/>
      </w:pPr>
      <w:r>
        <w:rPr>
          <w:rFonts w:ascii="Noto Sans" w:hAnsi="Noto Sans" w:eastAsia="Arial Unicode MS" w:cs="Noto Sans"/>
          <w:b w:val="0"/>
        </w:rPr>
        <w:t>Website-Erstattungen erfolgen normalerweise über die ursprüngliche Zahlungsroute in der ursprünglichen Transaktionswährung. Wenn Gesetz, Plattformregeln oder Zahlungstechnologie dies verhindern, verifizieren wir die Bestellung und erklären eine legale Alternative sowie etwaige Umrechnungen. Wir berechnen das erstattungsfähige Hauptkapital nicht heimlich unter Verwendung des Website-Referenzkurses am Erstattungsdatum. Drittplattformen behandeln ihre eigenen Bestellungen gemäß ihren Regeln.</w:t>
      </w:r>
    </w:p>
    <w:p>
      <w:pPr>
        <w:pStyle w:val="Heading1"/>
        <w:keepLines w:val="0"/>
      </w:pPr>
      <w:r>
        <w:rPr>
          <w:rFonts w:ascii="Noto Sans" w:hAnsi="Noto Sans" w:eastAsia="Arial Unicode MS" w:cs="Noto Sans"/>
          <w:b w:val="0"/>
        </w:rPr>
        <w:t>11. Rückerstattungsbetrag, Rabatte und Teilrückerstattungen</w:t>
      </w:r>
    </w:p>
    <w:p>
      <w:pPr>
        <w:keepLines w:val="0"/>
      </w:pPr>
      <w:r>
        <w:rPr>
          <w:rFonts w:ascii="Noto Sans" w:hAnsi="Noto Sans" w:eastAsia="Arial Unicode MS" w:cs="Noto Sans"/>
          <w:b w:val="0"/>
        </w:rPr>
        <w:t>Eine volle Rückerstattung basiert auf der ursprünglichen Transaktionswährung und dem tatsächlich gezahlten Betrag, nicht dem unverkauften Listenpreis oder einem späteren CNY-Preis. Daher wird eine Website-Bestellung, die zu 50,11 USD bezahlt wurde, gewöhnlich mit 50,11 USD erstattet. Eine teilweise Rückerstattung wird aus demselben Originalwährungsbetrag berechnet und auf die kleinste Einheit dieser Währung gerundet, ohne Hin-und-Rückumrechnung in CNY. Gutscheine, Werbevorteile und separat ausgewiesene Steuern folgen den Bestellbedingungen, geltendem Recht und Plattformregeln. Spätere Basispreis- oder Wechselkursänderungen preisen bezahlte Bestellungen niemals neu.</w:t>
      </w:r>
    </w:p>
    <w:p>
      <w:pPr>
        <w:keepLines w:val="0"/>
      </w:pPr>
      <w:r>
        <w:rPr>
          <w:rFonts w:ascii="Noto Sans" w:hAnsi="Noto Sans" w:eastAsia="Arial Unicode MS" w:cs="Noto Sans"/>
          <w:b w:val="0"/>
        </w:rPr>
        <w:t>Plattformprovisionen und Zahlungsabwicklungsgebühren sind Geschäftskosten, keine automatische Abzug vom gesetzlich erstattungsfähigen Produktkapital. Eine 30%ige Plattformprovision bedeutet keinen festen 70%-Verbraucherersatz. Unabhängig erhobene Gebühren Dritter, die das Gesetz erlaubt, folgen den Regeln des Dritten und sind vom Produktersatz getrennt.</w:t>
      </w:r>
    </w:p>
    <w:p>
      <w:pPr>
        <w:keepLines w:val="0"/>
      </w:pPr>
      <w:r>
        <w:rPr>
          <w:rFonts w:ascii="Noto Sans" w:hAnsi="Noto Sans" w:eastAsia="Arial Unicode MS" w:cs="Noto Sans"/>
          <w:b w:val="0"/>
        </w:rPr>
        <w:t>Kartenherausgeber, Netzwerke und Zahlungsanbieter können den Kauf und die Rückerstattung in der Originalwährung zu unterschiedlichen Zeitpunkten und Kursen in die Abrechnungswährung des Karteninhabers umrechnen. Selbst nach einer vollständigen Rückerstattung in der Originalwährung kann der Gutschriftsbetrag in der Landeswährung der Karte vom ursprünglichen Belastungsbetrag abweichen. Der tägliche Referenzkurs der Website gleicht diese Dritt-FX-Differenz oder -Gebühr nicht aus, vorbehaltlich etwaiger gesetzlicher Haftungen des Betreibers.</w:t>
      </w:r>
    </w:p>
    <w:p>
      <w:pPr>
        <w:pStyle w:val="Heading1"/>
        <w:keepLines w:val="0"/>
      </w:pPr>
      <w:r>
        <w:rPr>
          <w:rFonts w:ascii="Noto Sans" w:hAnsi="Noto Sans" w:eastAsia="Arial Unicode MS" w:cs="Noto Sans"/>
          <w:b w:val="0"/>
        </w:rPr>
        <w:t>12. Anleitung für gängige Szenarien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Szenario</w:t>
            </w:r>
          </w:p>
        </w:tc>
        <w:tc>
          <w:tcPr>
            <w:tcW w:type="dxa" w:w="3249"/>
            <w:vAlign w:val="center"/>
            <w:shd w:fill="DCE8F7"/>
          </w:tcPr>
          <w:p>
            <w:pPr>
              <w:keepNext/>
              <w:spacing w:after="40"/>
            </w:pPr>
            <w:r>
              <w:rPr>
                <w:rFonts w:ascii="Noto Sans" w:hAnsi="Noto Sans" w:eastAsia="Arial Unicode MS" w:cs="Noto Sans"/>
                <w:b/>
                <w:sz w:val="17"/>
              </w:rPr>
              <w:t>Allgemeine Handhabung</w:t>
            </w:r>
          </w:p>
        </w:tc>
        <w:tc>
          <w:tcPr>
            <w:tcW w:type="dxa" w:w="3249"/>
            <w:vAlign w:val="center"/>
            <w:shd w:fill="DCE8F7"/>
          </w:tcPr>
          <w:p>
            <w:pPr>
              <w:keepNext/>
              <w:spacing w:after="40"/>
            </w:pPr>
            <w:r>
              <w:rPr>
                <w:rFonts w:ascii="Noto Sans" w:hAnsi="Noto Sans" w:eastAsia="Arial Unicode MS" w:cs="Noto Sans"/>
                <w:b/>
                <w:sz w:val="17"/>
              </w:rPr>
              <w:t>Virtuelle Berechtigungen</w:t>
            </w:r>
          </w:p>
        </w:tc>
      </w:tr>
      <w:tr>
        <w:trPr>
          <w:cantSplit/>
        </w:trPr>
        <w:tc>
          <w:tcPr>
            <w:tcW w:type="dxa" w:w="3249"/>
            <w:vAlign w:val="center"/>
          </w:tcPr>
          <w:p>
            <w:pPr>
              <w:spacing w:after="40"/>
            </w:pPr>
            <w:r>
              <w:rPr>
                <w:rFonts w:ascii="Noto Sans" w:hAnsi="Noto Sans" w:eastAsia="Arial Unicode MS" w:cs="Noto Sans"/>
                <w:sz w:val="17"/>
              </w:rPr>
              <w:t>Doppelte Belastung</w:t>
            </w:r>
          </w:p>
        </w:tc>
        <w:tc>
          <w:tcPr>
            <w:tcW w:type="dxa" w:w="3249"/>
            <w:vAlign w:val="center"/>
          </w:tcPr>
          <w:p>
            <w:pPr>
              <w:spacing w:after="40"/>
            </w:pPr>
            <w:r>
              <w:rPr>
                <w:rFonts w:ascii="Noto Sans" w:hAnsi="Noto Sans" w:eastAsia="Arial Unicode MS" w:cs="Noto Sans"/>
                <w:sz w:val="17"/>
              </w:rPr>
              <w:t>Überprüfen und erstatten Sie die doppelte Zahlung.</w:t>
            </w:r>
          </w:p>
        </w:tc>
        <w:tc>
          <w:tcPr>
            <w:tcW w:type="dxa" w:w="3249"/>
            <w:vAlign w:val="center"/>
          </w:tcPr>
          <w:p>
            <w:pPr>
              <w:spacing w:after="40"/>
            </w:pPr>
            <w:r>
              <w:rPr>
                <w:rFonts w:ascii="Noto Sans" w:hAnsi="Noto Sans" w:eastAsia="Arial Unicode MS" w:cs="Noto Sans"/>
                <w:sz w:val="17"/>
              </w:rPr>
              <w:t>Heben Sie die doppelte Zuteilung auf; behalten Sie den gültigen Kauf bei.</w:t>
            </w:r>
          </w:p>
        </w:tc>
      </w:tr>
      <w:tr>
        <w:trPr>
          <w:cantSplit/>
        </w:trPr>
        <w:tc>
          <w:tcPr>
            <w:tcW w:type="dxa" w:w="3249"/>
            <w:vAlign w:val="center"/>
          </w:tcPr>
          <w:p>
            <w:pPr>
              <w:spacing w:after="40"/>
            </w:pPr>
            <w:r>
              <w:rPr>
                <w:rFonts w:ascii="Noto Sans" w:hAnsi="Noto Sans" w:eastAsia="Arial Unicode MS" w:cs="Noto Sans"/>
                <w:sz w:val="17"/>
              </w:rPr>
              <w:t>Bezahlt, aber nicht geliefert</w:t>
            </w:r>
          </w:p>
        </w:tc>
        <w:tc>
          <w:tcPr>
            <w:tcW w:type="dxa" w:w="3249"/>
            <w:vAlign w:val="center"/>
          </w:tcPr>
          <w:p>
            <w:pPr>
              <w:spacing w:after="40"/>
            </w:pPr>
            <w:r>
              <w:rPr>
                <w:rFonts w:ascii="Noto Sans" w:hAnsi="Noto Sans" w:eastAsia="Arial Unicode MS" w:cs="Noto Sans"/>
                <w:sz w:val="17"/>
              </w:rPr>
              <w:t>Artikel nach Möglichkeit liefern; andernfalls gemäß den geltenden Regeln erstatten.</w:t>
            </w:r>
          </w:p>
        </w:tc>
        <w:tc>
          <w:tcPr>
            <w:tcW w:type="dxa" w:w="3249"/>
            <w:vAlign w:val="center"/>
          </w:tcPr>
          <w:p>
            <w:pPr>
              <w:spacing w:after="40"/>
            </w:pPr>
            <w:r>
              <w:rPr>
                <w:rFonts w:ascii="Noto Sans" w:hAnsi="Noto Sans" w:eastAsia="Arial Unicode MS" w:cs="Noto Sans"/>
                <w:sz w:val="17"/>
              </w:rPr>
              <w:t>Keine Rückforderung ist erforderlich, wenn nichts gewährt wurde.</w:t>
            </w:r>
          </w:p>
        </w:tc>
      </w:tr>
      <w:tr>
        <w:trPr>
          <w:cantSplit/>
        </w:trPr>
        <w:tc>
          <w:tcPr>
            <w:tcW w:type="dxa" w:w="3249"/>
            <w:vAlign w:val="center"/>
          </w:tcPr>
          <w:p>
            <w:pPr>
              <w:spacing w:after="40"/>
            </w:pPr>
            <w:r>
              <w:rPr>
                <w:rFonts w:ascii="Noto Sans" w:hAnsi="Noto Sans" w:eastAsia="Arial Unicode MS" w:cs="Noto Sans"/>
                <w:sz w:val="17"/>
              </w:rPr>
              <w:t>Unzufriedenheit mit dem Truhen-Ergebnis</w:t>
            </w:r>
          </w:p>
        </w:tc>
        <w:tc>
          <w:tcPr>
            <w:tcW w:type="dxa" w:w="3249"/>
            <w:vAlign w:val="center"/>
          </w:tcPr>
          <w:p>
            <w:pPr>
              <w:spacing w:after="40"/>
            </w:pPr>
            <w:r>
              <w:rPr>
                <w:rFonts w:ascii="Noto Sans" w:hAnsi="Noto Sans" w:eastAsia="Arial Unicode MS" w:cs="Noto Sans"/>
                <w:sz w:val="17"/>
              </w:rPr>
              <w:t>Normalerweise kein Grund für eine Erstattung, vorbehaltlich gesetzlicher Rechte oder eines Regelfehlers.</w:t>
            </w:r>
          </w:p>
        </w:tc>
        <w:tc>
          <w:tcPr>
            <w:tcW w:type="dxa" w:w="3249"/>
            <w:vAlign w:val="center"/>
          </w:tcPr>
          <w:p>
            <w:pPr>
              <w:spacing w:after="40"/>
            </w:pPr>
            <w:r>
              <w:rPr>
                <w:rFonts w:ascii="Noto Sans" w:hAnsi="Noto Sans" w:eastAsia="Arial Unicode MS" w:cs="Noto Sans"/>
                <w:sz w:val="17"/>
              </w:rPr>
              <w:t>Ein gültiges Ergebnis bleibt normalerweise bestehen.</w:t>
            </w:r>
          </w:p>
        </w:tc>
      </w:tr>
      <w:tr>
        <w:trPr>
          <w:cantSplit/>
        </w:trPr>
        <w:tc>
          <w:tcPr>
            <w:tcW w:type="dxa" w:w="3249"/>
            <w:vAlign w:val="center"/>
          </w:tcPr>
          <w:p>
            <w:pPr>
              <w:spacing w:after="40"/>
            </w:pPr>
            <w:r>
              <w:rPr>
                <w:rFonts w:ascii="Noto Sans" w:hAnsi="Noto Sans" w:eastAsia="Arial Unicode MS" w:cs="Noto Sans"/>
                <w:sz w:val="17"/>
              </w:rPr>
              <w:t>Falsch offengelegte Quoten oder Inhalte</w:t>
            </w:r>
          </w:p>
        </w:tc>
        <w:tc>
          <w:tcPr>
            <w:tcW w:type="dxa" w:w="3249"/>
            <w:vAlign w:val="center"/>
          </w:tcPr>
          <w:p>
            <w:pPr>
              <w:spacing w:after="40"/>
            </w:pPr>
            <w:r>
              <w:rPr>
                <w:rFonts w:ascii="Noto Sans" w:hAnsi="Noto Sans" w:eastAsia="Arial Unicode MS" w:cs="Noto Sans"/>
                <w:sz w:val="17"/>
              </w:rPr>
              <w:t>Untersuchen, korrigieren, entschädigen oder nach Bedarf erstatten.</w:t>
            </w:r>
          </w:p>
        </w:tc>
        <w:tc>
          <w:tcPr>
            <w:tcW w:type="dxa" w:w="3249"/>
            <w:vAlign w:val="center"/>
          </w:tcPr>
          <w:p>
            <w:pPr>
              <w:spacing w:after="40"/>
            </w:pPr>
            <w:r>
              <w:rPr>
                <w:rFonts w:ascii="Noto Sans" w:hAnsi="Noto Sans" w:eastAsia="Arial Unicode MS" w:cs="Noto Sans"/>
                <w:sz w:val="17"/>
              </w:rPr>
              <w:t>Betroffene Bestellungen und Berechtigungen anpassen.</w:t>
            </w:r>
          </w:p>
        </w:tc>
      </w:tr>
      <w:tr>
        <w:trPr>
          <w:cantSplit/>
        </w:trPr>
        <w:tc>
          <w:tcPr>
            <w:tcW w:type="dxa" w:w="3249"/>
            <w:vAlign w:val="center"/>
          </w:tcPr>
          <w:p>
            <w:pPr>
              <w:spacing w:after="40"/>
            </w:pPr>
            <w:r>
              <w:rPr>
                <w:rFonts w:ascii="Noto Sans" w:hAnsi="Noto Sans" w:eastAsia="Arial Unicode MS" w:cs="Noto Sans"/>
                <w:sz w:val="17"/>
              </w:rPr>
              <w:t>Ungenutzter digitaler Artikel</w:t>
            </w:r>
          </w:p>
        </w:tc>
        <w:tc>
          <w:tcPr>
            <w:tcW w:type="dxa" w:w="3249"/>
            <w:vAlign w:val="center"/>
          </w:tcPr>
          <w:p>
            <w:pPr>
              <w:spacing w:after="40"/>
            </w:pPr>
            <w:r>
              <w:rPr>
                <w:rFonts w:ascii="Noto Sans" w:hAnsi="Noto Sans" w:eastAsia="Arial Unicode MS" w:cs="Noto Sans"/>
                <w:sz w:val="17"/>
              </w:rPr>
              <w:t>Ein Antrag kann nach Gesetz und technischer Wiederherstellbarkeit überprüft werden.</w:t>
            </w:r>
          </w:p>
        </w:tc>
        <w:tc>
          <w:tcPr>
            <w:tcW w:type="dxa" w:w="3249"/>
            <w:vAlign w:val="center"/>
          </w:tcPr>
          <w:p>
            <w:pPr>
              <w:spacing w:after="40"/>
            </w:pPr>
            <w:r>
              <w:rPr>
                <w:rFonts w:ascii="Noto Sans" w:hAnsi="Noto Sans" w:eastAsia="Arial Unicode MS" w:cs="Noto Sans"/>
                <w:sz w:val="17"/>
              </w:rPr>
              <w:t>Durch eine Rückerstattung abgedeckte Entitlements-Rückgängigmachung.</w:t>
            </w:r>
          </w:p>
        </w:tc>
      </w:tr>
      <w:tr>
        <w:trPr>
          <w:cantSplit/>
        </w:trPr>
        <w:tc>
          <w:tcPr>
            <w:tcW w:type="dxa" w:w="3249"/>
            <w:vAlign w:val="center"/>
          </w:tcPr>
          <w:p>
            <w:pPr>
              <w:spacing w:after="40"/>
            </w:pPr>
            <w:r>
              <w:rPr>
                <w:rFonts w:ascii="Noto Sans" w:hAnsi="Noto Sans" w:eastAsia="Arial Unicode MS" w:cs="Noto Sans"/>
                <w:sz w:val="17"/>
              </w:rPr>
              <w:t>Der Wechselkurs hat sich vor einer Rückerstattung in Fremdwährung geändert</w:t>
            </w:r>
          </w:p>
        </w:tc>
        <w:tc>
          <w:tcPr>
            <w:tcW w:type="dxa" w:w="3249"/>
            <w:vAlign w:val="center"/>
          </w:tcPr>
          <w:p>
            <w:pPr>
              <w:spacing w:after="40"/>
            </w:pPr>
            <w:r>
              <w:rPr>
                <w:rFonts w:ascii="Noto Sans" w:hAnsi="Noto Sans" w:eastAsia="Arial Unicode MS" w:cs="Noto Sans"/>
                <w:sz w:val="17"/>
              </w:rPr>
              <w:t>Verwenden Sie die ursprüngliche Transaktionswährung und den tatsächlich gezahlten Betrag; keine Neubewertung zum Kurs am Rückerstattungsdatum.</w:t>
            </w:r>
          </w:p>
        </w:tc>
        <w:tc>
          <w:tcPr>
            <w:tcW w:type="dxa" w:w="3249"/>
            <w:vAlign w:val="center"/>
          </w:tcPr>
          <w:p>
            <w:pPr>
              <w:spacing w:after="40"/>
            </w:pPr>
            <w:r>
              <w:rPr>
                <w:rFonts w:ascii="Noto Sans" w:hAnsi="Noto Sans" w:eastAsia="Arial Unicode MS" w:cs="Noto Sans"/>
                <w:sz w:val="17"/>
              </w:rPr>
              <w:t>Entitlements im Umfang der Rückerstattung anpassen.</w:t>
            </w:r>
          </w:p>
        </w:tc>
      </w:tr>
      <w:tr>
        <w:trPr>
          <w:cantSplit/>
        </w:trPr>
        <w:tc>
          <w:tcPr>
            <w:tcW w:type="dxa" w:w="3249"/>
            <w:vAlign w:val="center"/>
          </w:tcPr>
          <w:p>
            <w:pPr>
              <w:spacing w:after="40"/>
            </w:pPr>
            <w:r>
              <w:rPr>
                <w:rFonts w:ascii="Noto Sans" w:hAnsi="Noto Sans" w:eastAsia="Arial Unicode MS" w:cs="Noto Sans"/>
                <w:sz w:val="17"/>
              </w:rPr>
              <w:t>Minderjährigenbezogener Kauf</w:t>
            </w:r>
          </w:p>
        </w:tc>
        <w:tc>
          <w:tcPr>
            <w:tcW w:type="dxa" w:w="3249"/>
            <w:vAlign w:val="center"/>
          </w:tcPr>
          <w:p>
            <w:pPr>
              <w:spacing w:after="40"/>
            </w:pPr>
            <w:r>
              <w:rPr>
                <w:rFonts w:ascii="Noto Sans" w:hAnsi="Noto Sans" w:eastAsia="Arial Unicode MS" w:cs="Noto Sans"/>
                <w:sz w:val="17"/>
              </w:rPr>
              <w:t>Prüfung nach geltendem Recht. Nach genehmigter und abgeschlossener vollständiger oder nahezu vollständiger Rückerstattung das betroffene Spielkonto dauerhaft zu beschränken.</w:t>
            </w:r>
          </w:p>
        </w:tc>
        <w:tc>
          <w:tcPr>
            <w:tcW w:type="dxa" w:w="3249"/>
            <w:vAlign w:val="center"/>
          </w:tcPr>
          <w:p>
            <w:pPr>
              <w:spacing w:after="40"/>
            </w:pPr>
            <w:r>
              <w:rPr>
                <w:rFonts w:ascii="Noto Sans" w:hAnsi="Noto Sans" w:eastAsia="Arial Unicode MS" w:cs="Noto Sans"/>
                <w:sz w:val="17"/>
              </w:rPr>
              <w:t>Verbundene Entitlements ohne Reduzierung der Rückerstattung wiederherstellen; eine manuelle Korrektur bleibt bei Fehlern verfügbar.</w:t>
            </w:r>
          </w:p>
        </w:tc>
      </w:tr>
      <w:tr>
        <w:trPr>
          <w:cantSplit/>
        </w:trPr>
        <w:tc>
          <w:tcPr>
            <w:tcW w:type="dxa" w:w="3249"/>
            <w:vAlign w:val="center"/>
          </w:tcPr>
          <w:p>
            <w:pPr>
              <w:spacing w:after="40"/>
            </w:pPr>
            <w:r>
              <w:rPr>
                <w:rFonts w:ascii="Noto Sans" w:hAnsi="Noto Sans" w:eastAsia="Arial Unicode MS" w:cs="Noto Sans"/>
                <w:sz w:val="17"/>
              </w:rPr>
              <w:t>Bestellung von Apple, Google Play oder Steam</w:t>
            </w:r>
          </w:p>
        </w:tc>
        <w:tc>
          <w:tcPr>
            <w:tcW w:type="dxa" w:w="3249"/>
            <w:vAlign w:val="center"/>
          </w:tcPr>
          <w:p>
            <w:pPr>
              <w:spacing w:after="40"/>
            </w:pPr>
            <w:r>
              <w:rPr>
                <w:rFonts w:ascii="Noto Sans" w:hAnsi="Noto Sans" w:eastAsia="Arial Unicode MS" w:cs="Noto Sans"/>
                <w:sz w:val="17"/>
              </w:rPr>
              <w:t>Plattformregeln und anwendbares Recht bestimmen die Berechtigung, Währung, Betrag und Route.</w:t>
            </w:r>
          </w:p>
        </w:tc>
        <w:tc>
          <w:tcPr>
            <w:tcW w:type="dxa" w:w="3249"/>
            <w:vAlign w:val="center"/>
          </w:tcPr>
          <w:p>
            <w:pPr>
              <w:spacing w:after="40"/>
            </w:pPr>
            <w:r>
              <w:rPr>
                <w:rFonts w:ascii="Noto Sans" w:hAnsi="Noto Sans" w:eastAsia="Arial Unicode MS" w:cs="Noto Sans"/>
                <w:sz w:val="17"/>
              </w:rPr>
              <w:t>Entitlements basierend auf einem überprüfbaren Rückerstattungsergebnis anpassen.</w:t>
            </w:r>
          </w:p>
        </w:tc>
      </w:tr>
      <w:tr>
        <w:trPr>
          <w:cantSplit/>
        </w:trPr>
        <w:tc>
          <w:tcPr>
            <w:tcW w:type="dxa" w:w="3249"/>
            <w:vAlign w:val="center"/>
          </w:tcPr>
          <w:p>
            <w:pPr>
              <w:spacing w:after="40"/>
            </w:pPr>
            <w:r>
              <w:rPr>
                <w:rFonts w:ascii="Noto Sans" w:hAnsi="Noto Sans" w:eastAsia="Arial Unicode MS" w:cs="Noto Sans"/>
                <w:sz w:val="17"/>
              </w:rPr>
              <w:t>Gestohlener oder unbefugter Zahlungsvorgang</w:t>
            </w:r>
          </w:p>
        </w:tc>
        <w:tc>
          <w:tcPr>
            <w:tcW w:type="dxa" w:w="3249"/>
            <w:vAlign w:val="center"/>
          </w:tcPr>
          <w:p>
            <w:pPr>
              <w:spacing w:after="40"/>
            </w:pPr>
            <w:r>
              <w:rPr>
                <w:rFonts w:ascii="Noto Sans" w:hAnsi="Noto Sans" w:eastAsia="Arial Unicode MS" w:cs="Noto Sans"/>
                <w:sz w:val="17"/>
              </w:rPr>
              <w:t>Mit dem Zahlungsanbieter zusammenarbeiten; ihn nicht automatisch als Minderjährigenrückerstattung einstufen.</w:t>
            </w:r>
          </w:p>
        </w:tc>
        <w:tc>
          <w:tcPr>
            <w:tcW w:type="dxa" w:w="3249"/>
            <w:vAlign w:val="center"/>
          </w:tcPr>
          <w:p>
            <w:pPr>
              <w:spacing w:after="40"/>
            </w:pPr>
            <w:r>
              <w:rPr>
                <w:rFonts w:ascii="Noto Sans" w:hAnsi="Noto Sans" w:eastAsia="Arial Unicode MS" w:cs="Noto Sans"/>
                <w:sz w:val="17"/>
              </w:rPr>
              <w:t>Strittige Vorteile während der Überprüfung schützen.</w:t>
            </w:r>
          </w:p>
        </w:tc>
      </w:tr>
      <w:tr>
        <w:trPr>
          <w:cantSplit/>
        </w:trPr>
        <w:tc>
          <w:tcPr>
            <w:tcW w:type="dxa" w:w="3249"/>
            <w:vAlign w:val="center"/>
          </w:tcPr>
          <w:p>
            <w:pPr>
              <w:spacing w:after="40"/>
            </w:pPr>
            <w:r>
              <w:rPr>
                <w:rFonts w:ascii="Noto Sans" w:hAnsi="Noto Sans" w:eastAsia="Arial Unicode MS" w:cs="Noto Sans"/>
                <w:sz w:val="17"/>
              </w:rPr>
              <w:t>Betrügerischer Chargeback oder Rückerstattungsanspruch</w:t>
            </w:r>
          </w:p>
        </w:tc>
        <w:tc>
          <w:tcPr>
            <w:tcW w:type="dxa" w:w="3249"/>
            <w:vAlign w:val="center"/>
          </w:tcPr>
          <w:p>
            <w:pPr>
              <w:spacing w:after="40"/>
            </w:pPr>
            <w:r>
              <w:rPr>
                <w:rFonts w:ascii="Noto Sans" w:hAnsi="Noto Sans" w:eastAsia="Arial Unicode MS" w:cs="Noto Sans"/>
                <w:sz w:val="17"/>
              </w:rPr>
              <w:t>Beweise gemäß dem anwendbaren Recht und den Spielerregeln bewerten.</w:t>
            </w:r>
          </w:p>
        </w:tc>
        <w:tc>
          <w:tcPr>
            <w:tcW w:type="dxa" w:w="3249"/>
            <w:vAlign w:val="center"/>
          </w:tcPr>
          <w:p>
            <w:pPr>
              <w:spacing w:after="40"/>
            </w:pPr>
            <w:r>
              <w:rPr>
                <w:rFonts w:ascii="Noto Sans" w:hAnsi="Noto Sans" w:eastAsia="Arial Unicode MS" w:cs="Noto Sans"/>
                <w:sz w:val="17"/>
              </w:rPr>
              <w:t>Abnormale Erlöse können eingefroren oder zurückgefordert werden.</w:t>
            </w:r>
          </w:p>
        </w:tc>
      </w:tr>
    </w:tbl>
    <w:p>
      <w:pPr>
        <w:spacing w:after="40"/>
      </w:pPr>
    </w:p>
    <w:p>
      <w:pPr>
        <w:pStyle w:val="Heading1"/>
        <w:keepLines w:val="0"/>
      </w:pPr>
      <w:r>
        <w:rPr>
          <w:rFonts w:ascii="Noto Sans" w:hAnsi="Noto Sans" w:eastAsia="Arial Unicode MS" w:cs="Noto Sans"/>
          <w:b w:val="0"/>
        </w:rPr>
        <w:t>13. Regionale Ergänzungsregeln</w:t>
      </w:r>
    </w:p>
    <w:p>
      <w:pPr>
        <w:pStyle w:val="Heading1"/>
        <w:keepLines w:val="0"/>
      </w:pPr>
      <w:r>
        <w:rPr>
          <w:rFonts w:ascii="Noto Sans" w:hAnsi="Noto Sans" w:eastAsia="Arial Unicode MS" w:cs="Noto Sans"/>
          <w:b w:val="0"/>
        </w:rPr>
        <w:t>13.1 Festlandchina</w:t>
      </w:r>
    </w:p>
    <w:p>
      <w:pPr>
        <w:keepLines w:val="0"/>
      </w:pPr>
      <w:r>
        <w:rPr>
          <w:rFonts w:ascii="Noto Sans" w:hAnsi="Noto Sans" w:eastAsia="Arial Unicode MS" w:cs="Noto Sans"/>
          <w:b w:val="0"/>
        </w:rPr>
        <w:t>Ob die sieben-Tage-ohne-gründe-zurück-Politik für digitale Güter auf der offiziellen Website gilt, wird gemäß dem Gesetz zum Schutz der Verbraucherrechte unter Berücksichtigung der Art der Güter, der Liefermethode und ob vor dem Kauf klare Hinweise oder Bestätigungen bereitgestellt wurden, bestimmt. Dieser Paragraph verwendet keine Formatklausel, um gesetzlich nicht ausschließbare Rechte auf Rückerstattung, Kündigung oder Entschädigung auszuschließen.</w:t>
      </w:r>
    </w:p>
    <w:p>
      <w:pPr>
        <w:keepLines w:val="0"/>
      </w:pPr>
      <w:r>
        <w:rPr>
          <w:rFonts w:ascii="Noto Sans" w:hAnsi="Noto Sans" w:eastAsia="Arial Unicode MS" w:cs="Noto Sans"/>
          <w:b w:val="0"/>
        </w:rPr>
        <w:t>Bei digitalen Gütern sind Bestimmungen bezüglich Rückgabe ohne Grund, Risiko beim Kauf zufälliger Artikel, wesentliche Einschränkungen, Liefer- und Rückerstattungsbedingungen sowie andere für Verbraucher wesentliche Bedingungen vor dem Kauf deutlich anzugeben und gegebenenfalls die Bestätigung des Benutzers einzuholen.</w:t>
      </w:r>
    </w:p>
    <w:p>
      <w:pPr>
        <w:keepLines w:val="0"/>
      </w:pPr>
      <w:r>
        <w:rPr>
          <w:rFonts w:ascii="Noto Sans" w:hAnsi="Noto Sans" w:eastAsia="Arial Unicode MS" w:cs="Noto Sans"/>
          <w:b w:val="0"/>
        </w:rPr>
        <w:t>Blindbox-Produkte müssen vor ihrer offiziellen Einführung in der Volksrepublik China einer speziellen Compliance-Prüfung unterzogen werden; wenn die zu diesem Zeitpunkt geltenden Vorschriften die direkte Teilnahme an Verlosungen mit gesetzlichem Zahlungsmittel oder virtueller Währung verbieten, wird das Verkaufsmodell angepasst oder die Funktion ausgesetzt.</w:t>
      </w:r>
    </w:p>
    <w:p>
      <w:pPr>
        <w:pStyle w:val="Heading1"/>
        <w:keepLines w:val="0"/>
      </w:pPr>
      <w:r>
        <w:rPr>
          <w:rFonts w:ascii="Noto Sans" w:hAnsi="Noto Sans" w:eastAsia="Arial Unicode MS" w:cs="Noto Sans"/>
          <w:b w:val="0"/>
        </w:rPr>
        <w:t>13.2 Vereinigte Staaten</w:t>
      </w:r>
    </w:p>
    <w:p>
      <w:pPr>
        <w:keepLines w:val="0"/>
      </w:pPr>
      <w:r>
        <w:rPr>
          <w:rFonts w:ascii="Noto Sans" w:hAnsi="Noto Sans" w:eastAsia="Arial Unicode MS" w:cs="Noto Sans"/>
          <w:b w:val="0"/>
        </w:rPr>
        <w:t>Die Nutzungsbedingungen schließen keine Verbraucherschutzrechte aus, die nach nicht verzichtbaren bundesstaatlichen oder staatlichen Verbraucherschutzgesetzen gewährt werden. Der Kaufprozess muss eine klare und affirmative Zustimmung einholen, wobei irreführende Schaltflächen, versteckte Gebühren oder unklare Kaufbestätigungen zu vermeiden sind. Streitigkeiten im Zusammenhang mit unbefugten Käufen und tatsächlichen Zahlungsstreitigkeiten sind gemäß den anwendbaren Gesetzen, Zahlungsnetzwerken und Plattformregeln zu lösen.</w:t>
      </w:r>
    </w:p>
    <w:p>
      <w:pPr>
        <w:pStyle w:val="Heading1"/>
        <w:keepLines w:val="0"/>
      </w:pPr>
      <w:r>
        <w:rPr>
          <w:rFonts w:ascii="Noto Sans" w:hAnsi="Noto Sans" w:eastAsia="Arial Unicode MS" w:cs="Noto Sans"/>
          <w:b w:val="0"/>
        </w:rPr>
        <w:t>13.3 Japan</w:t>
      </w:r>
    </w:p>
    <w:p>
      <w:pPr>
        <w:keepLines w:val="0"/>
      </w:pPr>
      <w:r>
        <w:rPr>
          <w:rFonts w:ascii="Noto Sans" w:hAnsi="Noto Sans" w:eastAsia="Arial Unicode MS" w:cs="Noto Sans"/>
          <w:b w:val="0"/>
        </w:rPr>
        <w:t>Bei offiziellen Website-Verkäufen, die sich an japanische Benutzer richten, müssen Betreiber auf der Produktseite oder einer dedizierten Seite die gesetzlich vorgeschriebenen Offenlegungen gemäß dem „Gesetz über bestimmte Handelsgeschäfte“ bereitstellen, einschließlich der wahren Informationen des Verkäufers, des Preises, der Zahlungsmethode, der Lieferzeit, der Bedingungen für Stornierung/Kündigung und der Rückerstattungsrichtlinien. Diese Bedingungen ersetzen nicht die „gesetzlich vorgeschriebenen Offenlegungen gemäß dem Gesetz über bestimmte Handelsgeschäfte“.</w:t>
      </w:r>
    </w:p>
    <w:p>
      <w:pPr>
        <w:keepLines w:val="0"/>
      </w:pPr>
      <w:r>
        <w:rPr>
          <w:rFonts w:ascii="Noto Sans" w:hAnsi="Noto Sans" w:eastAsia="Arial Unicode MS" w:cs="Noto Sans"/>
          <w:b w:val="0"/>
        </w:rPr>
        <w:t>Die für Online-Verkäufe in Japan geltende Bedenkfrist wendet nicht automatisch denselben Mechanismus wie in physischen Geschäften an, und spezifische Rückgabe- oder Stornierungsbedingungen müssen auf der Werboseite und der endgültigen Bestätigungsseite klar angezeigt werden. Dennoch behalten Benutzer ihre entsprechenden gesetzlichen Remedierechte bei, wenn das Produkt Mängel, falsche Darstellungen aufweist oder das Gesetz dies anders vorsieht.</w:t>
      </w:r>
    </w:p>
    <w:p>
      <w:pPr>
        <w:pStyle w:val="Heading1"/>
        <w:keepLines w:val="0"/>
      </w:pPr>
      <w:r>
        <w:rPr>
          <w:rFonts w:ascii="Noto Sans" w:hAnsi="Noto Sans" w:eastAsia="Arial Unicode MS" w:cs="Noto Sans"/>
          <w:b w:val="0"/>
        </w:rPr>
        <w:t>14. Grenze zwischen Rückerstattungsrichtlinien und Strafen bei Spielerverstößen</w:t>
      </w:r>
    </w:p>
    <w:p>
      <w:pPr>
        <w:keepLines w:val="0"/>
      </w:pPr>
      <w:r>
        <w:rPr>
          <w:rFonts w:ascii="Noto Sans" w:hAnsi="Noto Sans" w:eastAsia="Arial Unicode MS" w:cs="Noto Sans"/>
          <w:b w:val="0"/>
        </w:rPr>
        <w:t>Erstattungen lösen echte Kaufstreitigkeiten. Normale Erstattungen, gutgläubige Beschwerden und echte Chargebacks führen nicht automatisch zu einer dauerhaften Isolation. Sobald ein kleiner Kauf verifiziert ist und seine genehmigte volle oder im Wesentlichen vollständige Rückerstattung gemäß Abschnitt 7 tatsächlich abgeschlossen wurde, verliert das betroffene Spielkonto dauerhaft den normalen Spielzugriff. Es kann sich in einem dedizierten eingeschränkten Bereich anmelden, hat jedoch keinen Zugriff auf die normale Welt, den Laden, Handel, Events oder normales soziales und wirtschaftliches Gameplay, und kann nicht durch normale Quests, Gegenstände, Reisen oder einen neuen Login entkommen. Das Spiel stellt dies als Gefängniskarte und lebenslange Strafe dar; dies ist ein Spielservice-Zustand, kein strafrechtliches Urteil, und es reduziert keine gesetzlich geschuldete Erstattung.</w:t>
      </w:r>
    </w:p>
    <w:p>
      <w:pPr>
        <w:keepLines w:val="0"/>
      </w:pPr>
      <w:r>
        <w:rPr>
          <w:rFonts w:ascii="Noto Sans" w:hAnsi="Noto Sans" w:eastAsia="Arial Unicode MS" w:cs="Noto Sans"/>
          <w:b w:val="0"/>
        </w:rPr>
        <w:t>Die Einschränkung gilt nur für das betroffene Spielkonto und nicht automatisch für das gesamte DAWNBLOOM-Konto oder andere Apps. Falsche Altersangaben, Vormundschaft, Bestellzuordnung, Rückerstattungsstatus oder Kontoverknüpfungen können über den Support angefochten werden. Nur eine autorisierte und protokollierte manuelle Korrektur kann eine fehlerhafte Einschränkung aufheben. Unabhängig nachgewiesener Betrug oder anderes Fehlverhalten wird gemäß den Spielerregeln und der Durchsetzungsrichtlinie behandelt.</w:t>
      </w:r>
    </w:p>
    <w:p>
      <w:pPr>
        <w:pStyle w:val="Heading1"/>
        <w:keepLines w:val="0"/>
      </w:pPr>
      <w:r>
        <w:rPr>
          <w:rFonts w:ascii="Noto Sans" w:hAnsi="Noto Sans" w:eastAsia="Arial Unicode MS" w:cs="Noto Sans"/>
          <w:b w:val="0"/>
        </w:rPr>
        <w:t>15. Dienstunterbrechungen, wesentliche Änderungen und Dienstbeendigung</w:t>
      </w:r>
    </w:p>
    <w:p>
      <w:pPr>
        <w:keepLines w:val="0"/>
      </w:pPr>
      <w:r>
        <w:rPr>
          <w:rFonts w:ascii="Noto Sans" w:hAnsi="Noto Sans" w:eastAsia="Arial Unicode MS" w:cs="Noto Sans"/>
          <w:b w:val="0"/>
        </w:rPr>
        <w:t>Falls ein gekaufter und noch gültiger Digitalgüter aufgrund von Gründen des Betreibers über einen längeren Zeitraum nicht geliefert oder genutzt werden kann, stellen wir je nach geltendem Recht, Plattformregeln, Art der Güter und technischer Wiederherstellbarkeit Abhilfemaßnahmen, alternative Rechte, eine Rückerstattung oder andere angemessene Lösungen bereit.</w:t>
      </w:r>
    </w:p>
    <w:p>
      <w:pPr>
        <w:keepLines w:val="0"/>
      </w:pPr>
      <w:r>
        <w:rPr>
          <w:rFonts w:ascii="Noto Sans" w:hAnsi="Noto Sans" w:eastAsia="Arial Unicode MS" w:cs="Noto Sans"/>
          <w:b w:val="0"/>
        </w:rPr>
        <w:t>Soweit gesetzliche Anforderungen die Beendigung der betreffenden Online-Spieldienste erfordern, werden nicht genutzte digitale Berechtigungen, virtuelle Währungen oder nicht erfüllte bezahlte Dienste gemäß den geltenden Gesetzen, behördlichen Anforderungen, den Plattformregeln und jedem zu diesem Zeitpunkt öffentlich bekanntgegebenen Plan zur Dienstbeendigung behandelt.</w:t>
      </w:r>
    </w:p>
    <w:p>
      <w:pPr>
        <w:pStyle w:val="Heading1"/>
        <w:keepLines w:val="0"/>
      </w:pPr>
      <w:r>
        <w:rPr>
          <w:rFonts w:ascii="Noto Sans" w:hAnsi="Noto Sans" w:eastAsia="Arial Unicode MS" w:cs="Noto Sans"/>
          <w:b w:val="0"/>
        </w:rPr>
        <w:t>16. Aktualisierungen der Klauseln und historische Versionen</w:t>
      </w:r>
    </w:p>
    <w:p>
      <w:pPr>
        <w:keepLines w:val="0"/>
      </w:pPr>
      <w:r>
        <w:rPr>
          <w:rFonts w:ascii="Noto Sans" w:hAnsi="Noto Sans" w:eastAsia="Arial Unicode MS" w:cs="Noto Sans"/>
          <w:b w:val="0"/>
        </w:rPr>
        <w:t>Wesentliche Änderungen werden deutlich sichtbar veröffentlicht und mit Version sowie Datum des Inkrafttretens versehen. Diese V8 gilt erst nach ihrem offiziellen Inkrafttreten für danach eingehende neue Bestellungen und zugehörige Verfahren; bestehende Bestellungen richten sich weiterhin nach den beim Kauf ausdrücklich angezeigten Transaktionsbedingungen und den gesetzlich anwendbaren Regeln. Neue Bedingungen ändern Preise nicht rückwirkend und entziehen keine gesetzlichen Rechte.</w:t>
      </w:r>
    </w:p>
    <w:p>
      <w:pPr>
        <w:keepLines w:val="0"/>
      </w:pPr>
      <w:r>
        <w:rPr>
          <w:rFonts w:ascii="Noto Sans" w:hAnsi="Noto Sans" w:eastAsia="Arial Unicode MS" w:cs="Noto Sans"/>
          <w:b w:val="0"/>
        </w:rPr>
        <w:t>Bereits abgeschlossene Bestellungen unterliegen grundsätzlich der Transaktionsseite, der Produktbeschreibung und den zum Kaufzeitpunkt geltenden Regeln; die neue Version dieser Bedingungen soll Benutzer nicht automatisch jeglicher gesetzlicher Rechte berauben, die bereits entstanden sind.</w:t>
      </w:r>
    </w:p>
    <w:p>
      <w:pPr>
        <w:pStyle w:val="Heading1"/>
        <w:keepLines w:val="0"/>
      </w:pPr>
      <w:r>
        <w:rPr>
          <w:rFonts w:ascii="Noto Sans" w:hAnsi="Noto Sans" w:eastAsia="Arial Unicode MS" w:cs="Noto Sans"/>
          <w:b w:val="0"/>
        </w:rPr>
        <w:t>17. Kontaktieren Sie uns und Streitbeilegung</w:t>
      </w:r>
    </w:p>
    <w:p>
      <w:pPr>
        <w:keepLines w:val="0"/>
      </w:pPr>
      <w:r>
        <w:rPr>
          <w:rFonts w:ascii="Noto Sans" w:hAnsi="Noto Sans" w:eastAsia="Arial Unicode MS" w:cs="Noto Sans"/>
          <w:b w:val="0"/>
        </w:rPr>
        <w:t xml:space="preserve">Abrechnung, Zahlung und Rückerstattung: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Allgemeiner Kundenservice für Spieler: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Rechtliche Anfragen, Urheberrechte und Datenschutz: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Betriebsadresse / Offizielle Kontaktadresse: Room 218, Building 3, No. 336 Tianjiao Road, Lin-gang Special Area of the China (Shanghai) Pilot Free Trade Zone, China</w:t>
      </w:r>
    </w:p>
    <w:p>
      <w:pPr>
        <w:keepLines w:val="0"/>
      </w:pPr>
      <w:r>
        <w:rPr>
          <w:rFonts w:ascii="Noto Sans" w:hAnsi="Noto Sans" w:eastAsia="Arial Unicode MS" w:cs="Noto Sans"/>
          <w:b w:val="0"/>
        </w:rPr>
        <w:t>Nutzer können zunächst Streitigkeiten über Bestellungen und Rückerstattungsanträge über den Kundenservice einreichen. Wenn Verhandlungen das Problem nicht lösen, können Nutzer weiterhin nach geltendem Recht bei Verbraucherschutzbehörden, Zahlungsinstitutionen, der Plattform, Schieds- oder Schlichtungsstellen oder zuständigen Gerichten Rechtsbehelfe suchen.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Verkaufs- &amp; Rückerstattungsbedingungen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