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Hinweis zu Offiziellen Kanälen &amp; Anti-Betrug von DAWNBLOOM</w:t>
      </w:r>
    </w:p>
    <w:p>
      <w:pPr>
        <w:keepLines w:val="0"/>
      </w:pPr>
      <w:r>
        <w:rPr>
          <w:rFonts w:ascii="Noto Sans" w:hAnsi="Noto Sans" w:eastAsia="Arial Unicode MS" w:cs="Noto Sans"/>
          <w:b w:val="0"/>
        </w:rPr>
        <w:t>Offizielle Version</w:t>
      </w:r>
    </w:p>
    <w:p>
      <w:pPr>
        <w:keepLines w:val="0"/>
      </w:pPr>
      <w:r>
        <w:rPr>
          <w:rFonts w:ascii="Noto Sans" w:hAnsi="Noto Sans" w:eastAsia="Arial Unicode MS" w:cs="Noto Sans"/>
          <w:b w:val="0"/>
        </w:rPr>
        <w:t>OFFIZIELLE KANÄLE UND BETRUGSWARNUNG</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Überprüfen Sie nur die offizielle Website</w:t>
              <w:br/>
              <w:t>https://dawnbloom.net</w:t>
            </w:r>
          </w:p>
        </w:tc>
      </w:tr>
    </w:tbl>
    <w:p>
      <w:pPr>
        <w:spacing w:after="40"/>
      </w:pPr>
    </w:p>
    <w:p>
      <w:pPr>
        <w:keepLines w:val="0"/>
      </w:pPr>
      <w:r>
        <w:rPr>
          <w:rFonts w:ascii="Noto Sans" w:hAnsi="Noto Sans" w:eastAsia="Arial Unicode MS" w:cs="Noto Sans"/>
          <w:b w:val="0"/>
        </w:rPr>
        <w:t>V8 · 10. Oktober 2026</w:t>
      </w:r>
    </w:p>
    <w:p>
      <w:pPr>
        <w:keepLines w:val="0"/>
      </w:pPr>
      <w:r>
        <w:rPr>
          <w:rFonts w:ascii="Noto Sans" w:hAnsi="Noto Sans" w:eastAsia="Arial Unicode MS" w:cs="Noto Sans"/>
          <w:b w:val="0"/>
        </w:rPr>
        <w:t>Gültig ab: 10. Oktober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Jede Website, jeder Kundenservice, jedes Social-Media-Konto oder jede Zahlungsseite, die behauptet, DAWNBLOOM (DAWNBLOOM) zu vertreten, aber nicht ausdrücklich in dieser Bekanntmachung oder auf der offiziellen Website aufgeführt ist, sollte keine Kontoinformationen, Verifizierungscodes bereitstellen oder für Zahlungen angefordert werden.</w:t>
            </w:r>
          </w:p>
        </w:tc>
      </w:tr>
    </w:tbl>
    <w:p>
      <w:pPr>
        <w:spacing w:after="40"/>
      </w:pPr>
    </w:p>
    <w:p>
      <w:pPr>
        <w:pStyle w:val="Heading1"/>
        <w:keepLines w:val="0"/>
      </w:pPr>
      <w:r>
        <w:rPr>
          <w:rFonts w:ascii="Noto Sans" w:hAnsi="Noto Sans" w:eastAsia="Arial Unicode MS" w:cs="Noto Sans"/>
          <w:b w:val="0"/>
        </w:rPr>
        <w:t>1. Zweck dieses Hinweises</w:t>
      </w:r>
    </w:p>
    <w:p>
      <w:pPr>
        <w:keepLines w:val="0"/>
      </w:pPr>
      <w:r>
        <w:rPr>
          <w:rFonts w:ascii="Noto Sans" w:hAnsi="Noto Sans" w:eastAsia="Arial Unicode MS" w:cs="Noto Sans"/>
          <w:b w:val="0"/>
        </w:rPr>
        <w:t>Diese Bekanntmachung soll Spielern helfen, die offizielle Website, die offizielle E-Mail-Adresse, die offiziellen sozialen Medien und die offiziellen Kundenservice-Kanäle von „DAWNBLOOM“ (DAWNBLOOM) zu identifizieren. Sie zielt darauf ab, Risiken im Zusammenhang mit gefälschtem Kundenservice, gefälschten Aufladediensten, Phishing-Websites, Links zum Kontodiebstahl, falschen Rückerstattungsansprüchen und Identitätstäuschung durch unbefugtes Personal zu reduzieren. Offizielle Kanäle können gemäß Plattformanpassungen hinzugefügt, verschoben oder umbenannt werden; solche Änderungen oder Updates werden offiziell über dawnbloom.net finalized und angekündigt.</w:t>
      </w:r>
    </w:p>
    <w:p>
      <w:pPr>
        <w:keepLines w:val="0"/>
      </w:pPr>
      <w:r>
        <w:rPr>
          <w:rFonts w:ascii="Noto Sans" w:hAnsi="Noto Sans" w:eastAsia="Arial Unicode MS" w:cs="Noto Sans"/>
          <w:b w:val="0"/>
        </w:rPr>
        <w:t>Diese Bekanntmachung hilft Benutzern auch dabei, Seiten, Installer, Updates und Support für das Spiel, Token, Browser, News, Mail, Download und Archive zu identifizieren. Erwerben Sie keine unveröffentlichten Produkte von unbekannten Dateihostern, Gruppenfreigaben, privaten Chats oder Crack-Software-Seiten.</w:t>
      </w:r>
    </w:p>
    <w:p>
      <w:pPr>
        <w:pStyle w:val="Heading1"/>
        <w:keepLines w:val="0"/>
      </w:pPr>
      <w:r>
        <w:rPr>
          <w:rFonts w:ascii="Noto Sans" w:hAnsi="Noto Sans" w:eastAsia="Arial Unicode MS" w:cs="Noto Sans"/>
          <w:b w:val="0"/>
        </w:rPr>
        <w:t>2. Offizielle Kanäle</w:t>
      </w:r>
    </w:p>
    <w:p>
      <w:pPr>
        <w:keepLines w:val="0"/>
      </w:pPr>
      <w:r>
        <w:rPr>
          <w:rFonts w:ascii="Noto Sans" w:hAnsi="Noto Sans" w:eastAsia="Arial Unicode MS" w:cs="Noto Sans"/>
          <w:b w:val="0"/>
        </w:rPr>
        <w:t>DAWNBLOOM Fairy und DAWNBLOOM AI gehören zum selben intelligenten Dienstsystem unseres Unternehmens. Senden Sie im Chat keine Passwörter, vollständigen Einmal-Verifizierungscodes, Zugriffstoken oder Zahlungszugangsdaten. KI-Empfehlungen und Intelligent UI-Karten ersetzen keine offizielle Identitätsprüfung; Aktionen zu Konten, Vermögenswerten und personenbezogenen Daten müssen weiterhin das verifizierte offizielle Dienstverfahren durchlaufen. Vertrauen Sie keinen Nachrichten, die im Namen der KI verlangen, Prüfungen zu umgehen, an private Konten zu zahlen oder sensible Informationen auf ähnlich geschriebenen Domains einzugeben.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Kanal</w:t>
            </w:r>
          </w:p>
        </w:tc>
        <w:tc>
          <w:tcPr>
            <w:tcW w:type="dxa" w:w="3249"/>
            <w:vAlign w:val="center"/>
            <w:shd w:fill="DCE8F7"/>
          </w:tcPr>
          <w:p>
            <w:pPr>
              <w:keepNext/>
              <w:spacing w:after="40"/>
            </w:pPr>
            <w:r>
              <w:rPr>
                <w:rFonts w:ascii="Noto Sans" w:hAnsi="Noto Sans" w:eastAsia="Arial Unicode MS" w:cs="Noto Sans"/>
                <w:b/>
                <w:sz w:val="17"/>
              </w:rPr>
              <w:t>Offizielle Informationen</w:t>
            </w:r>
          </w:p>
        </w:tc>
        <w:tc>
          <w:tcPr>
            <w:tcW w:type="dxa" w:w="3249"/>
            <w:vAlign w:val="center"/>
            <w:shd w:fill="DCE8F7"/>
          </w:tcPr>
          <w:p>
            <w:pPr>
              <w:keepNext/>
              <w:spacing w:after="40"/>
            </w:pPr>
            <w:r>
              <w:rPr>
                <w:rFonts w:ascii="Noto Sans" w:hAnsi="Noto Sans" w:eastAsia="Arial Unicode MS" w:cs="Noto Sans"/>
                <w:b/>
                <w:sz w:val="17"/>
              </w:rPr>
              <w:t>Zweck</w:t>
            </w:r>
          </w:p>
        </w:tc>
      </w:tr>
      <w:tr>
        <w:trPr>
          <w:cantSplit/>
        </w:trPr>
        <w:tc>
          <w:tcPr>
            <w:tcW w:type="dxa" w:w="3249"/>
            <w:vAlign w:val="center"/>
          </w:tcPr>
          <w:p>
            <w:pPr>
              <w:spacing w:after="40"/>
            </w:pPr>
            <w:r>
              <w:rPr>
                <w:rFonts w:ascii="Noto Sans" w:hAnsi="Noto Sans" w:eastAsia="Arial Unicode MS" w:cs="Noto Sans"/>
                <w:sz w:val="17"/>
              </w:rPr>
              <w:t>Einzige globale Website</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Rechtsdokumente, Spieledownloads, Kontodienste, Community, Shop, Ankündigungen und offizielle Einstiegspunkte</w:t>
            </w:r>
          </w:p>
        </w:tc>
      </w:tr>
      <w:tr>
        <w:trPr>
          <w:cantSplit/>
        </w:trPr>
        <w:tc>
          <w:tcPr>
            <w:tcW w:type="dxa" w:w="3249"/>
            <w:vAlign w:val="center"/>
          </w:tcPr>
          <w:p>
            <w:pPr>
              <w:spacing w:after="40"/>
            </w:pPr>
            <w:r>
              <w:rPr>
                <w:rFonts w:ascii="Noto Sans" w:hAnsi="Noto Sans" w:eastAsia="Arial Unicode MS" w:cs="Noto Sans"/>
                <w:sz w:val="17"/>
              </w:rPr>
              <w:t>Offizieller chinesischer Einstieg</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Offizieller japanischer Einstieg</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Offen;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Offizieller koreanischer Spracheinstieg</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Die offiziellen koreanischen Einträge dawnbloom.kr und www.dawnbloom.kr verwenden HTTPS-301-Weiterleitungen nach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DNS-Änderungen können Zeit benötigen, um sich auszubreiten. Sie verwenden die einheitliche Website und erstellen keine separate Website, kein Konto, keine Datenbank und keinen koreanischen Spielserver.</w:t>
            </w:r>
          </w:p>
        </w:tc>
      </w:tr>
      <w:tr>
        <w:trPr>
          <w:cantSplit/>
        </w:trPr>
        <w:tc>
          <w:tcPr>
            <w:tcW w:type="dxa" w:w="3249"/>
            <w:vAlign w:val="center"/>
          </w:tcPr>
          <w:p>
            <w:pPr>
              <w:spacing w:after="40"/>
            </w:pPr>
            <w:r>
              <w:rPr>
                <w:rFonts w:ascii="Noto Sans" w:hAnsi="Noto Sans" w:eastAsia="Arial Unicode MS" w:cs="Noto Sans"/>
                <w:sz w:val="17"/>
              </w:rPr>
              <w:t>Bestehender chinesischer Markenschutz-Eintrag</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Bestehender japanischer Markenschutz-Eintrag</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Kundenservice-E-Mail</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Spieler-Kundenservice, Kontoprobleme, anomale Situationen und allgemeine Unterstützung</w:t>
            </w:r>
          </w:p>
        </w:tc>
      </w:tr>
      <w:tr>
        <w:trPr>
          <w:cantSplit/>
        </w:trPr>
        <w:tc>
          <w:tcPr>
            <w:tcW w:type="dxa" w:w="3249"/>
            <w:vAlign w:val="center"/>
          </w:tcPr>
          <w:p>
            <w:pPr>
              <w:spacing w:after="40"/>
            </w:pPr>
            <w:r>
              <w:rPr>
                <w:rFonts w:ascii="Noto Sans" w:hAnsi="Noto Sans" w:eastAsia="Arial Unicode MS" w:cs="Noto Sans"/>
                <w:sz w:val="17"/>
              </w:rPr>
              <w:t>Vorschläge / Beschwerden</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Allgemeine Vorschläge, Servicebeschwerden und Erfahrungsfeedback</w:t>
            </w:r>
          </w:p>
        </w:tc>
      </w:tr>
      <w:tr>
        <w:trPr>
          <w:cantSplit/>
        </w:trPr>
        <w:tc>
          <w:tcPr>
            <w:tcW w:type="dxa" w:w="3249"/>
            <w:vAlign w:val="center"/>
          </w:tcPr>
          <w:p>
            <w:pPr>
              <w:spacing w:after="40"/>
            </w:pPr>
            <w:r>
              <w:rPr>
                <w:rFonts w:ascii="Noto Sans" w:hAnsi="Noto Sans" w:eastAsia="Arial Unicode MS" w:cs="Noto Sans"/>
                <w:sz w:val="17"/>
              </w:rPr>
              <w:t>Rechnungs-E-Mail</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Bestellungen, Zahlungen, Abrechnung, Rückerstattungen und transaktionsbezogene Angelegenheiten</w:t>
            </w:r>
          </w:p>
        </w:tc>
      </w:tr>
      <w:tr>
        <w:trPr>
          <w:cantSplit/>
        </w:trPr>
        <w:tc>
          <w:tcPr>
            <w:tcW w:type="dxa" w:w="3249"/>
            <w:vAlign w:val="center"/>
          </w:tcPr>
          <w:p>
            <w:pPr>
              <w:spacing w:after="40"/>
            </w:pPr>
            <w:r>
              <w:rPr>
                <w:rFonts w:ascii="Noto Sans" w:hAnsi="Noto Sans" w:eastAsia="Arial Unicode MS" w:cs="Noto Sans"/>
                <w:sz w:val="17"/>
              </w:rPr>
              <w:t>Medien-/Kooperations-E-Mail</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Medienanfragen, Geschäftskooperationen und nicht-kundenspezifische Angelegenheiten</w:t>
            </w:r>
          </w:p>
        </w:tc>
      </w:tr>
      <w:tr>
        <w:trPr>
          <w:cantSplit/>
        </w:trPr>
        <w:tc>
          <w:tcPr>
            <w:tcW w:type="dxa" w:w="3249"/>
            <w:vAlign w:val="center"/>
          </w:tcPr>
          <w:p>
            <w:pPr>
              <w:spacing w:after="40"/>
            </w:pPr>
            <w:r>
              <w:rPr>
                <w:rFonts w:ascii="Noto Sans" w:hAnsi="Noto Sans" w:eastAsia="Arial Unicode MS" w:cs="Noto Sans"/>
                <w:sz w:val="17"/>
              </w:rPr>
              <w:t>Rechtliche/Urheberrechts-E-Mail</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Rechtliche Hinweise, Urheberrechte, geistiges Eigentum und formelle Rechtskommunikation</w:t>
            </w:r>
          </w:p>
        </w:tc>
      </w:tr>
      <w:tr>
        <w:trPr>
          <w:cantSplit/>
        </w:trPr>
        <w:tc>
          <w:tcPr>
            <w:tcW w:type="dxa" w:w="3249"/>
            <w:vAlign w:val="center"/>
          </w:tcPr>
          <w:p>
            <w:pPr>
              <w:spacing w:after="40"/>
            </w:pPr>
            <w:r>
              <w:rPr>
                <w:rFonts w:ascii="Noto Sans" w:hAnsi="Noto Sans" w:eastAsia="Arial Unicode MS" w:cs="Noto Sans"/>
                <w:sz w:val="17"/>
              </w:rPr>
              <w:t>E-Mail zu Sicherheitslücken</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Sicherheitslücken, technische Sicherheitsprobleme und verantwortungsvolle Offenlegung</w:t>
            </w:r>
          </w:p>
        </w:tc>
      </w:tr>
    </w:tbl>
    <w:p>
      <w:pPr>
        <w:spacing w:after="40"/>
      </w:pPr>
    </w:p>
    <w:p>
      <w:pPr>
        <w:keepLines w:val="0"/>
      </w:pPr>
      <w:r>
        <w:rPr>
          <w:rFonts w:ascii="Noto Sans" w:hAnsi="Noto Sans" w:eastAsia="Arial Unicode MS" w:cs="Noto Sans"/>
          <w:b w:val="0"/>
        </w:rPr>
        <w:t>Die regionalen Einträge in der Tabelle dienen nur zur Sprachauswahl. Sie bearbeiten nicht eigenständig Registrierung, Authentifizierung, Passwortänderungen, Aufladungen, Zahlungen oder Bestellungen. Nach einer normalen Weiterleitung überprüfen Sie den vollständigen Hostnamen der Hauptsite und den Sprachpfad in der Adressleiste. Beide regionalen Einträge sind offen und verwenden HTTPS-301-Weiterleitungen zu den aufgeführten Sprachpfaden der Hauptsite. Regionale Einträge erstellen keinen neuen Betreiber oder Datenbank und migrieren keine Konten oder Spielerdaten. Ihre Suffixe begründen kein Hosting in Festlandchina, keine ICP-Zulassung oder eine japanische Gesellschaft oder Niederlassung. Der Betreiber stellte die Firmenregistrierungsidentität für den China-Eintrag bereit. Der registrierte Inhaber und die formale Autorisierung des Japan-Eintrags müssen noch verifiziert werden; diese Mitteilung beansprucht kein direktes Unternehmens Eigentum. Bestehende Markenschutz-Domains bleiben aufgelistet. Die reine Punycode-Anzeige ist kein Beweis für Identitätsdiebstahl, aber prüfen Sie die vollständige Schreibweise und die endgültige Adresse. Andere ähnlich klingende Domains werden nicht durch Ähnlichkeit offiziell. Offizielle E-Mails verwenden weiterhin ausschließlich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Dienstleistung</w:t>
            </w:r>
          </w:p>
        </w:tc>
        <w:tc>
          <w:tcPr>
            <w:tcW w:type="dxa" w:w="4873"/>
            <w:vAlign w:val="center"/>
            <w:shd w:fill="DCE8F7"/>
          </w:tcPr>
          <w:p>
            <w:pPr>
              <w:keepNext/>
              <w:spacing w:after="40"/>
            </w:pPr>
            <w:r>
              <w:rPr>
                <w:rFonts w:ascii="Noto Sans" w:hAnsi="Noto Sans" w:eastAsia="Arial Unicode MS" w:cs="Noto Sans"/>
                <w:b/>
                <w:sz w:val="17"/>
              </w:rPr>
              <w:t>Offizieller Haupt-Site-Pfad (ersetzen Sie zh durch en oder ja)</w:t>
            </w:r>
          </w:p>
        </w:tc>
      </w:tr>
      <w:tr>
        <w:trPr>
          <w:cantSplit/>
        </w:trPr>
        <w:tc>
          <w:tcPr>
            <w:tcW w:type="dxa" w:w="4873"/>
            <w:vAlign w:val="center"/>
          </w:tcPr>
          <w:p>
            <w:pPr>
              <w:spacing w:after="40"/>
            </w:pPr>
            <w:r>
              <w:rPr>
                <w:rFonts w:ascii="Noto Sans" w:hAnsi="Noto Sans" w:eastAsia="Arial Unicode MS" w:cs="Noto Sans"/>
                <w:sz w:val="17"/>
              </w:rPr>
              <w:t>Konto-Anmeldung</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Wiederherstellung und Sicherheitskontrollen</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Unterstützung und Kontakt</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Offizielle Downloads</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Shop, Aufladungen und Abrechnung (je nach Verfügbarkeit)</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Betreibende Entität und Rechtliche Kontaktinformationen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Projekt</w:t>
            </w:r>
          </w:p>
        </w:tc>
        <w:tc>
          <w:tcPr>
            <w:tcW w:type="dxa" w:w="4873"/>
            <w:vAlign w:val="center"/>
            <w:shd w:fill="DCE8F7"/>
          </w:tcPr>
          <w:p>
            <w:pPr>
              <w:keepNext/>
              <w:spacing w:after="40"/>
            </w:pPr>
            <w:r>
              <w:rPr>
                <w:rFonts w:ascii="Noto Sans" w:hAnsi="Noto Sans" w:eastAsia="Arial Unicode MS" w:cs="Noto Sans"/>
                <w:b/>
                <w:sz w:val="17"/>
              </w:rPr>
              <w:t>Informationen</w:t>
            </w:r>
          </w:p>
        </w:tc>
      </w:tr>
      <w:tr>
        <w:trPr>
          <w:cantSplit/>
        </w:trPr>
        <w:tc>
          <w:tcPr>
            <w:tcW w:type="dxa" w:w="4873"/>
            <w:vAlign w:val="center"/>
          </w:tcPr>
          <w:p>
            <w:pPr>
              <w:spacing w:after="40"/>
            </w:pPr>
            <w:r>
              <w:rPr>
                <w:rFonts w:ascii="Noto Sans" w:hAnsi="Noto Sans" w:eastAsia="Arial Unicode MS" w:cs="Noto Sans"/>
                <w:sz w:val="17"/>
              </w:rPr>
              <w:t>Betreiber / Website-Dienstleister</w:t>
            </w:r>
          </w:p>
        </w:tc>
        <w:tc>
          <w:tcPr>
            <w:tcW w:type="dxa" w:w="4873"/>
            <w:vAlign w:val="center"/>
          </w:tcPr>
          <w:p>
            <w:pPr>
              <w:spacing w:after="40"/>
            </w:pPr>
            <w:r>
              <w:rPr>
                <w:rFonts w:ascii="Noto Sans" w:hAnsi="Noto Sans" w:eastAsia="Arial Unicode MS" w:cs="Noto Sans"/>
                <w:sz w:val="17"/>
              </w:rPr>
              <w:t>上海追光智创文化传媒有限公司 (Englischer öffentlicher Name: SHANGHAI LUMIREALM CREATIVE MEDIA CO., LTD.)</w:t>
            </w:r>
          </w:p>
        </w:tc>
      </w:tr>
      <w:tr>
        <w:trPr>
          <w:cantSplit/>
        </w:trPr>
        <w:tc>
          <w:tcPr>
            <w:tcW w:type="dxa" w:w="4873"/>
            <w:vAlign w:val="center"/>
          </w:tcPr>
          <w:p>
            <w:pPr>
              <w:spacing w:after="40"/>
            </w:pPr>
            <w:r>
              <w:rPr>
                <w:rFonts w:ascii="Noto Sans" w:hAnsi="Noto Sans" w:eastAsia="Arial Unicode MS" w:cs="Noto Sans"/>
                <w:sz w:val="17"/>
              </w:rPr>
              <w:t>Betriebsadresse / rechtliche Kontaktadresse</w:t>
            </w:r>
          </w:p>
        </w:tc>
        <w:tc>
          <w:tcPr>
            <w:tcW w:type="dxa" w:w="4873"/>
            <w:vAlign w:val="center"/>
          </w:tcPr>
          <w:p>
            <w:pPr>
              <w:spacing w:after="40"/>
            </w:pPr>
            <w:r>
              <w:rPr>
                <w:rFonts w:ascii="Noto Sans" w:hAnsi="Noto Sans" w:eastAsia="Arial Unicode MS" w:cs="Noto Sans"/>
                <w:sz w:val="17"/>
              </w:rPr>
              <w:t>Raum 218, Gebäude 3, Nr. 336 Tianjiao Road, Sondergebiet Lin-gang, Pilotzone Freihandel Chinas (Shanghai), China</w:t>
            </w:r>
          </w:p>
        </w:tc>
      </w:tr>
    </w:tbl>
    <w:p>
      <w:pPr>
        <w:spacing w:after="40"/>
      </w:pPr>
    </w:p>
    <w:p>
      <w:pPr>
        <w:pStyle w:val="Heading1"/>
        <w:keepLines w:val="0"/>
      </w:pPr>
      <w:r>
        <w:rPr>
          <w:rFonts w:ascii="Noto Sans" w:hAnsi="Noto Sans" w:eastAsia="Arial Unicode MS" w:cs="Noto Sans"/>
          <w:b w:val="0"/>
        </w:rPr>
        <w:t>3. Offizielle Social-Media- und Instant-Messaging-Kanäle</w:t>
      </w:r>
    </w:p>
    <w:p>
      <w:pPr>
        <w:keepLines w:val="0"/>
      </w:pPr>
      <w:r>
        <w:rPr>
          <w:rFonts w:ascii="Noto Sans" w:hAnsi="Noto Sans" w:eastAsia="Arial Unicode MS" w:cs="Noto Sans"/>
          <w:b w:val="0"/>
        </w:rPr>
        <w:t xml:space="preserve">Offizielle Namen, Benutzernamen und Plattformlinks können sich ändern. Öffnen Sie die aufgeführten Kanäle über Support oder Kontakt auf der Hauptseite; Suchergebnisse, Avatare oder Follower-Zahlen stellen keine Identität fest. Überprüfen Sie unsichere Kontakte über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Zu den unterstützten Plattformen können Facebook, Threads, Instagram, YouTube, X, Bluesky, Xiaohongshu, WeChat, Douyin und andere gehören.</w:t>
      </w:r>
    </w:p>
    <w:p>
      <w:pPr>
        <w:pStyle w:val="ListBullet"/>
        <w:keepLines w:val="0"/>
      </w:pPr>
      <w:r>
        <w:rPr>
          <w:rFonts w:ascii="Noto Sans" w:hAnsi="Noto Sans" w:eastAsia="Arial Unicode MS" w:cs="Noto Sans"/>
          <w:b w:val="0"/>
        </w:rPr>
        <w:t>Wenn ein Konto auf einer beliebigen Plattform nicht auf der Seite der offiziellen Kanäle von dawnbloom.net aufgeführt ist, gehen Sie auch dann nicht davon aus, dass es sich um ein offizielles Konto handelt, wenn Name, Profilbild oder Inhalt dem offiziellen ähnlich sehen. Verlassen Sie sich nicht allein auf die optische Ähnlichkeit.</w:t>
      </w:r>
    </w:p>
    <w:p>
      <w:pPr>
        <w:pStyle w:val="ListBullet"/>
        <w:keepLines w:val="0"/>
      </w:pPr>
      <w:r>
        <w:rPr>
          <w:rFonts w:ascii="Noto Sans" w:hAnsi="Noto Sans" w:eastAsia="Arial Unicode MS" w:cs="Noto Sans"/>
          <w:b w:val="0"/>
        </w:rPr>
        <w:t>Jede Hinzufügung, Aussetzung, Versetzung oder Umbenennung offizieller Kanäle unterliegt der neuesten offiziellen Ankündigung auf dawnbloom.net.</w:t>
      </w:r>
    </w:p>
    <w:p>
      <w:pPr>
        <w:pStyle w:val="Heading1"/>
        <w:keepLines w:val="0"/>
      </w:pPr>
      <w:r>
        <w:rPr>
          <w:rFonts w:ascii="Noto Sans" w:hAnsi="Noto Sans" w:eastAsia="Arial Unicode MS" w:cs="Noto Sans"/>
          <w:b w:val="0"/>
        </w:rPr>
        <w:t>4. Dinge, die das offizielle Personal Sie niemals bitten wird zu tun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Seien Sie wachsam: Mitarbeiter des offiziellen Kundenservice werden Sie niemals per Direktnachricht nach Ihrem Kontopasswort, einem einmaligen Bestätigungscode oder Ihrem Zahlungspasswort fragen. Sie werden Sie auch niemals auffordern, Geld auf ein persönliches Konto zu überweisen, etwa unter dem Vorwand, das Konto „freizuschalten“, eine „Erstattung“ vorzunehmen, „Belohnungen einzulösen“, „Ausrüstung wiederherzustellen“ oder „Vermögenswerte zu überprüfen“.</w:t>
            </w:r>
          </w:p>
        </w:tc>
      </w:tr>
    </w:tbl>
    <w:p>
      <w:pPr>
        <w:spacing w:after="40"/>
      </w:pPr>
    </w:p>
    <w:p>
      <w:pPr>
        <w:keepLines w:val="0"/>
      </w:pPr>
      <w:r>
        <w:rPr>
          <w:rFonts w:ascii="Noto Sans" w:hAnsi="Noto Sans" w:eastAsia="Arial Unicode MS" w:cs="Noto Sans"/>
          <w:b w:val="0"/>
        </w:rPr>
        <w:t>Rotierende Token-Codes, Details zur Kontowiederherstellung und Gespräche mit DAWNBLOOM Guide sind niemals ein Grund, im Privatchat nach Passwörtern oder Zahlungen zu verlangen. DAWNBLOOM Guide umgeht keine formalen Prüfungen für Konten, Vermögenswerte, Berufungen oder interne Daten.</w:t>
      </w:r>
    </w:p>
    <w:p>
      <w:pPr>
        <w:pStyle w:val="ListBullet"/>
        <w:keepLines w:val="0"/>
      </w:pPr>
      <w:r>
        <w:rPr>
          <w:rFonts w:ascii="Noto Sans" w:hAnsi="Noto Sans" w:eastAsia="Arial Unicode MS" w:cs="Noto Sans"/>
          <w:b w:val="0"/>
        </w:rPr>
        <w:t>Werden niemals Ihr Spielkontopasswort, Apple-ID-Passwort, Steam-Passwort, WeChat-/Alipay-Zahlungspasswort oder Bankkartenpasswort anfordern.</w:t>
      </w:r>
    </w:p>
    <w:p>
      <w:pPr>
        <w:pStyle w:val="ListBullet"/>
        <w:keepLines w:val="0"/>
      </w:pPr>
      <w:r>
        <w:rPr>
          <w:rFonts w:ascii="Noto Sans" w:hAnsi="Noto Sans" w:eastAsia="Arial Unicode MS" w:cs="Noto Sans"/>
          <w:b w:val="0"/>
        </w:rPr>
        <w:t>Werden niemals Ihren SMS-Verifizierungscode, E-Mail-Verifizierungscode, Zwei-Faktor-Authentifizierungscode, dynamischen Lightseeker-Token-Schlüssel (falls aktiviert) oder einen anderen einmaligen Sicherheitscode anfordern.</w:t>
      </w:r>
    </w:p>
    <w:p>
      <w:pPr>
        <w:pStyle w:val="ListBullet"/>
        <w:keepLines w:val="0"/>
      </w:pPr>
      <w:r>
        <w:rPr>
          <w:rFonts w:ascii="Noto Sans" w:hAnsi="Noto Sans" w:eastAsia="Arial Unicode MS" w:cs="Noto Sans"/>
          <w:b w:val="0"/>
        </w:rPr>
        <w:t>Werden niemals verlangen, dass Sie Bildschirmsharing aktivieren, Fernsteuerung zulassen oder unbekannte Remote-Assistenzsoftware, APKs, Beschreibungsdateien, Browser-Erweiterungen oder sogenannte „Sicherheits-Plugins“ installieren.</w:t>
      </w:r>
    </w:p>
    <w:p>
      <w:pPr>
        <w:pStyle w:val="ListBullet"/>
        <w:keepLines w:val="0"/>
      </w:pPr>
      <w:r>
        <w:rPr>
          <w:rFonts w:ascii="Noto Sans" w:hAnsi="Noto Sans" w:eastAsia="Arial Unicode MS" w:cs="Noto Sans"/>
          <w:b w:val="0"/>
        </w:rPr>
        <w:t>Wir werden nicht verlangen, dass Sie Magic Coins, Phantom Beasts, Ausrüstung oder Gegenstände im Spiel auf sogenannte „GM-Konten“, „Sicherheitskonten“ oder „Verifikationskonten“ übertragen, um sie zu validieren.</w:t>
      </w:r>
    </w:p>
    <w:p>
      <w:pPr>
        <w:pStyle w:val="ListBullet"/>
        <w:keepLines w:val="0"/>
      </w:pPr>
      <w:r>
        <w:rPr>
          <w:rFonts w:ascii="Noto Sans" w:hAnsi="Noto Sans" w:eastAsia="Arial Unicode MS" w:cs="Noto Sans"/>
          <w:b w:val="0"/>
        </w:rPr>
        <w:t>Werden niemals verlangen, dass Sie über persönliches WeChat, persönliches Alipay, private Bankkarte, Geschenkkarte, Kryptowährungsadresse oder einen anderen nicht-offiziellen Zahlungsweg bezahlen.</w:t>
      </w:r>
    </w:p>
    <w:p>
      <w:pPr>
        <w:pStyle w:val="ListBullet"/>
        <w:keepLines w:val="0"/>
      </w:pPr>
      <w:r>
        <w:rPr>
          <w:rFonts w:ascii="Noto Sans" w:hAnsi="Noto Sans" w:eastAsia="Arial Unicode MS" w:cs="Noto Sans"/>
          <w:b w:val="0"/>
        </w:rPr>
        <w:t>Werden niemals zusätzliche Zahlungen unter Vorwänden wie „Überweisung vor Rückerstattung“, „erst Einzahlung leisten“, „Kontofreischaltungsgebühr“, „Strafgebührenbefreiungsgebühr“, „Verifizierungsgebühr“ oder „Gebühr für Preisabholung“ verlangen.</w:t>
      </w:r>
    </w:p>
    <w:p>
      <w:pPr>
        <w:pStyle w:val="ListBullet"/>
        <w:keepLines w:val="0"/>
      </w:pPr>
      <w:r>
        <w:rPr>
          <w:rFonts w:ascii="Noto Sans" w:hAnsi="Noto Sans" w:eastAsia="Arial Unicode MS" w:cs="Noto Sans"/>
          <w:b w:val="0"/>
        </w:rPr>
        <w:t>Werden Sie niemals auffordern, sich über inoffizielle Links erneut bei Ihrem Spielkonto anzumelden oder vollständige Zahlungsdetails einzugeben.</w:t>
      </w:r>
    </w:p>
    <w:p>
      <w:pPr>
        <w:pStyle w:val="ListBullet"/>
        <w:keepLines w:val="0"/>
      </w:pPr>
      <w:r>
        <w:rPr>
          <w:rFonts w:ascii="Noto Sans" w:hAnsi="Noto Sans" w:eastAsia="Arial Unicode MS" w:cs="Noto Sans"/>
          <w:b w:val="0"/>
        </w:rPr>
        <w:t>Werden niemals kostenpflichtige private Änderungen an Strafen, erhöhte Gewinnwahrscheinlichkeiten, Verteilung seltener Gegenstände oder Umgehung offizieller Regeln versprechen.</w:t>
      </w:r>
    </w:p>
    <w:p>
      <w:pPr>
        <w:pStyle w:val="Heading1"/>
        <w:keepLines w:val="0"/>
      </w:pPr>
      <w:r>
        <w:rPr>
          <w:rFonts w:ascii="Noto Sans" w:hAnsi="Noto Sans" w:eastAsia="Arial Unicode MS" w:cs="Noto Sans"/>
          <w:b w:val="0"/>
        </w:rPr>
        <w:t>Fünf. Häufige Methoden der Identitätstäuschung</w:t>
      </w:r>
    </w:p>
    <w:p>
      <w:pPr>
        <w:pStyle w:val="ListBullet"/>
        <w:keepLines w:val="0"/>
      </w:pPr>
      <w:r>
        <w:rPr>
          <w:rFonts w:ascii="Noto Sans" w:hAnsi="Noto Sans" w:eastAsia="Arial Unicode MS" w:cs="Noto Sans"/>
          <w:b w:val="0"/>
        </w:rPr>
        <w:t>Nutzt Domains, Schreibweisen, Subdomains oder Shortlinks, die dawnbloom.net extrem ähnlich sind, um Spieler zum Login zu verleiten.</w:t>
      </w:r>
    </w:p>
    <w:p>
      <w:pPr>
        <w:keepLines w:val="0"/>
      </w:pPr>
      <w:r>
        <w:rPr>
          <w:rFonts w:ascii="Noto Sans" w:hAnsi="Noto Sans" w:eastAsia="Arial Unicode MS" w:cs="Noto Sans"/>
          <w:b w:val="0"/>
        </w:rPr>
        <w:t>Falsche Websites, Store-Listings, APK- oder EXE-Dateien, Browser-Updates, News- oder Mail-Clients, Download- oder Archive-Tools, Token-Seiten und Dawnbloom Guide-Dienste können Zugangsdaten abfragen oder Malware installieren. Vertrauen Sie auf dawnbloom.net und die offiziellen Stores, die es ausdrücklich verlinkt; Google Drive und Baidu Netdisk sind keine aktuellen offiziellen Spiegelserver.</w:t>
      </w:r>
    </w:p>
    <w:p>
      <w:pPr>
        <w:pStyle w:val="ListBullet"/>
        <w:keepLines w:val="0"/>
      </w:pPr>
      <w:r>
        <w:rPr>
          <w:rFonts w:ascii="Noto Sans" w:hAnsi="Noto Sans" w:eastAsia="Arial Unicode MS" w:cs="Noto Sans"/>
          <w:b w:val="0"/>
        </w:rPr>
        <w:t>Sie kopieren offizielle Avatare, Logos, Kundenservice-Skripte und Ankündigungsbilder, um hochgradig täuschende Social-Media-Konten, Gruppenchats oder Zahlungsseiten zu erstellen.</w:t>
      </w:r>
    </w:p>
    <w:p>
      <w:pPr>
        <w:pStyle w:val="ListBullet"/>
        <w:keepLines w:val="0"/>
      </w:pPr>
      <w:r>
        <w:rPr>
          <w:rFonts w:ascii="Noto Sans" w:hAnsi="Noto Sans" w:eastAsia="Arial Unicode MS" w:cs="Noto Sans"/>
          <w:b w:val="0"/>
        </w:rPr>
        <w:t>Sie geben sich als GMs, Kundenservice, Administratoren, zusammenarbeitende Streamer oder „internes Personal“ aus und behaupten, Kontorisiken bestünden, um Dringlichkeit zu erzeugen.</w:t>
      </w:r>
    </w:p>
    <w:p>
      <w:pPr>
        <w:pStyle w:val="ListBullet"/>
        <w:keepLines w:val="0"/>
      </w:pPr>
      <w:r>
        <w:rPr>
          <w:rFonts w:ascii="Noto Sans" w:hAnsi="Noto Sans" w:eastAsia="Arial Unicode MS" w:cs="Noto Sans"/>
          <w:b w:val="0"/>
        </w:rPr>
        <w:t>Sie nutzen Lockangebote wie „kostenlose Magiemünzen“, „seltene Phantomtiere“, „gewonnene Preise“, „Testberechtigung“, „Erstattungskompensation“ oder „interne Geschenkkits“, um QR-Codes oder Links zu senden.</w:t>
      </w:r>
    </w:p>
    <w:p>
      <w:pPr>
        <w:pStyle w:val="ListBullet"/>
        <w:keepLines w:val="0"/>
      </w:pPr>
      <w:r>
        <w:rPr>
          <w:rFonts w:ascii="Noto Sans" w:hAnsi="Noto Sans" w:eastAsia="Arial Unicode MS" w:cs="Noto Sans"/>
          <w:b w:val="0"/>
        </w:rPr>
        <w:t>Sie geben sich als Kundenservice aus und fügen Sie proaktiv als Freund hinzu, wobei sie Verifizierungscodes, Asset-Screenshots, Bildschirmfreigabe oder Überweisungen anfordern.</w:t>
      </w:r>
    </w:p>
    <w:p>
      <w:pPr>
        <w:pStyle w:val="ListBullet"/>
        <w:keepLines w:val="0"/>
      </w:pPr>
      <w:r>
        <w:rPr>
          <w:rFonts w:ascii="Noto Sans" w:hAnsi="Noto Sans" w:eastAsia="Arial Unicode MS" w:cs="Noto Sans"/>
          <w:b w:val="0"/>
        </w:rPr>
        <w:t>Sie verwenden gestohlene Freundeskonten, um Links oder Dateien zu senden, wodurch die Quelle legitim erscheint.</w:t>
      </w:r>
    </w:p>
    <w:p>
      <w:pPr>
        <w:pStyle w:val="Heading1"/>
        <w:keepLines w:val="0"/>
      </w:pPr>
      <w:r>
        <w:rPr>
          <w:rFonts w:ascii="Noto Sans" w:hAnsi="Noto Sans" w:eastAsia="Arial Unicode MS" w:cs="Noto Sans"/>
          <w:b w:val="0"/>
        </w:rPr>
        <w:t>Abschnitt Sechs: Sicherheit von Zahlungen und Shops</w:t>
      </w:r>
    </w:p>
    <w:p>
      <w:pPr>
        <w:keepLines w:val="0"/>
      </w:pPr>
      <w:r>
        <w:rPr>
          <w:rFonts w:ascii="Noto Sans" w:hAnsi="Noto Sans" w:eastAsia="Arial Unicode MS" w:cs="Noto Sans"/>
          <w:b w:val="0"/>
        </w:rPr>
        <w:t>Alle offiziellen digitalen Waren, Kisten und andere In-Store-Inhalte richten sich nach der Anzeige auf der offiziellen Website und den offiziellen In-Game-Eintrittspunkten. Spieler müssen Zahlungen über die offizielle Website oder über die von der offiziellen Stelle gelisteten angegebenen Drittanbieter-Zahlungs-/App-Stores durchführen.</w:t>
      </w:r>
    </w:p>
    <w:p>
      <w:pPr>
        <w:keepLines w:val="0"/>
      </w:pPr>
      <w:r>
        <w:rPr>
          <w:rFonts w:ascii="Noto Sans" w:hAnsi="Noto Sans" w:eastAsia="Arial Unicode MS" w:cs="Noto Sans"/>
          <w:b w:val="0"/>
        </w:rPr>
        <w:t xml:space="preserve">Wenn die Bestellseite, der Zahlungsempfänger, der Betrag, die Domain oder die Weiterleitungs-URL erheblich von den öffentlich auf der offiziellen Website bekanntgegebenen Informationen abweichen, pausieren Sie alle Transaktionen und überprüfen Sie diese über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oder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Jegliche offline private Zahlungen oder private „In-Game-Aufladungsdienste“ gelten nicht als offizielle Transaktionen.</w:t>
      </w:r>
    </w:p>
    <w:p>
      <w:pPr>
        <w:pStyle w:val="Heading1"/>
        <w:keepLines w:val="0"/>
      </w:pPr>
      <w:r>
        <w:rPr>
          <w:rFonts w:ascii="Noto Sans" w:hAnsi="Noto Sans" w:eastAsia="Arial Unicode MS" w:cs="Noto Sans"/>
          <w:b w:val="0"/>
        </w:rPr>
        <w:t>Abschnitt Sieben: Was zu tun ist beim Empfang verdächtiger Nachrichten</w:t>
      </w:r>
    </w:p>
    <w:p>
      <w:pPr>
        <w:pStyle w:val="ListBullet"/>
        <w:keepLines w:val="0"/>
      </w:pPr>
      <w:r>
        <w:rPr>
          <w:rFonts w:ascii="Noto Sans" w:hAnsi="Noto Sans" w:eastAsia="Arial Unicode MS" w:cs="Noto Sans"/>
          <w:b w:val="0"/>
        </w:rPr>
        <w:t>Fahren Sie nicht fort: Klicken Sie nicht auf Links, scannen Sie keine QR-Codes, laden Sie keine Dateien herunter, geben Sie keine Kontoinformationen ein oder führen Sie keine Zahlungen durch.</w:t>
      </w:r>
    </w:p>
    <w:p>
      <w:pPr>
        <w:pStyle w:val="ListBullet"/>
        <w:keepLines w:val="0"/>
      </w:pPr>
      <w:r>
        <w:rPr>
          <w:rFonts w:ascii="Noto Sans" w:hAnsi="Noto Sans" w:eastAsia="Arial Unicode MS" w:cs="Noto Sans"/>
          <w:b w:val="0"/>
        </w:rPr>
        <w:t>Bewahren Sie Beweise auf: Speichern Sie Ihre Kontohomepage, Chat-Protokolle, Links, QR-Codes, Überweisungsseiten, Bestellnummern und Zeitstempel.</w:t>
      </w:r>
    </w:p>
    <w:p>
      <w:pPr>
        <w:pStyle w:val="ListBullet"/>
        <w:keepLines w:val="0"/>
      </w:pPr>
      <w:r>
        <w:rPr>
          <w:rFonts w:ascii="Noto Sans" w:hAnsi="Noto Sans" w:eastAsia="Arial Unicode MS" w:cs="Noto Sans"/>
          <w:b w:val="0"/>
        </w:rPr>
        <w:t>Geben Sie die Adresse der Hauptsite selbst ein und nutzen Sie deren Navigation zu Player Center, Support oder Downloads. Verlassen Sie sich nicht auf die Linkbeschriftung eines Fremden. Melden Sie sich über das Player Center der Hauptsite an; öffnen Sie Wiederherstellung und sensible Steuerelemente über Support Account Management. Nutzen Sie die Shop-, Aufladungs- und Abrechnungseinträge der Hauptsite für Zahlungen und Bestellungen, wobei Sie die tatsächliche Verfügbarkeit und jede Zahlungsplattform auf diesen Seiten prüfen.</w:t>
      </w:r>
    </w:p>
    <w:p>
      <w:pPr>
        <w:pStyle w:val="ListBullet"/>
        <w:keepLines w:val="0"/>
      </w:pPr>
      <w:r>
        <w:rPr>
          <w:rFonts w:ascii="Noto Sans" w:hAnsi="Noto Sans" w:eastAsia="Arial Unicode MS" w:cs="Noto Sans"/>
          <w:b w:val="0"/>
        </w:rPr>
        <w:t>Wenn Kontoinformationen bereits eingegeben wurden: Ändern Sie sofort Ihr Passwort, melden Sie sich von allen anderen aktiven Sitzungen ab und überprüfen Sie die Sicherheit zugehöriger E-Mail-, Apple-, Steam-, WeChat- und anderer Drittanbieter-Konten.</w:t>
      </w:r>
    </w:p>
    <w:p>
      <w:pPr>
        <w:pStyle w:val="ListBullet"/>
        <w:keepLines w:val="0"/>
      </w:pPr>
      <w:r>
        <w:rPr>
          <w:rFonts w:ascii="Noto Sans" w:hAnsi="Noto Sans" w:eastAsia="Arial Unicode MS" w:cs="Noto Sans"/>
          <w:b w:val="0"/>
        </w:rPr>
        <w:t>Wenn die Zahlung bereits erfolgt ist: Wenden Sie sich umgehend an die Zahlungsplattform, die ausstellende Bank oder das betreffende Finanzinstitut, um eine Stornierung, Widerspruch oder Sperrung zu beantragen; in Fällen mit hohen Beträgen oder verdächtigen Straftaten melden Sie den Vorfall unverzüglich der lokalen Polizei.</w:t>
      </w:r>
    </w:p>
    <w:p>
      <w:pPr>
        <w:pStyle w:val="ListBullet"/>
        <w:keepLines w:val="0"/>
      </w:pPr>
      <w:r>
        <w:rPr>
          <w:rFonts w:ascii="Noto Sans" w:hAnsi="Noto Sans" w:eastAsia="Arial Unicode MS" w:cs="Noto Sans"/>
          <w:b w:val="0"/>
        </w:rPr>
        <w:t>Wenn ein gefälschtes Konto entdeckt wird: Melden Sie es auf der entsprechenden Plattform und senden Sie den Seitenlink an den offiziellen Kundenservice zur weiteren Überprüfung und öffentlichen Bekanntgabe.</w:t>
      </w:r>
    </w:p>
    <w:p>
      <w:pPr>
        <w:pStyle w:val="Heading1"/>
        <w:keepLines w:val="0"/>
      </w:pPr>
      <w:r>
        <w:rPr>
          <w:rFonts w:ascii="Noto Sans" w:hAnsi="Noto Sans" w:eastAsia="Arial Unicode MS" w:cs="Noto Sans"/>
          <w:b w:val="0"/>
        </w:rPr>
        <w:t>Acht. Informationen, die das Offizielle zur Überprüfung anfordern kann</w:t>
      </w:r>
    </w:p>
    <w:p>
      <w:pPr>
        <w:keepLines w:val="0"/>
      </w:pPr>
      <w:r>
        <w:rPr>
          <w:rFonts w:ascii="Noto Sans" w:hAnsi="Noto Sans" w:eastAsia="Arial Unicode MS" w:cs="Noto Sans"/>
          <w:b w:val="0"/>
        </w:rPr>
        <w:t>Um kontobeziogene Probleme, Bestellungen, Kontodiebstahl, ungewöhnliche Transaktionen oder Kundenservice-Streitigkeiten zu klären, kann das Official-Team von Ihnen erforderliche Verifizierungsinformationen anfordern, wie z. B.: Kontoname, Charaktername/Charakter-ID, Bestellnummer, Zeitpunkt des Vorfalls, Geräte- oder Login-Details, Screenshots aus dem Spiel, relevante Chat-Screenshots und Ihre aktiv eingereichten Kontaktinformationen.</w:t>
      </w:r>
    </w:p>
    <w:p>
      <w:pPr>
        <w:keepLines w:val="0"/>
      </w:pPr>
      <w:r>
        <w:rPr>
          <w:rFonts w:ascii="Noto Sans" w:hAnsi="Noto Sans" w:eastAsia="Arial Unicode MS" w:cs="Noto Sans"/>
          <w:b w:val="0"/>
        </w:rPr>
        <w:t>Wir halten am Prinzip der minimal notwendigen Daten fest und werden keine hochriskanten Anmeldeinformationen anfordern, die nicht mit dem Problem zusammenhängen. Insbesondere werden wir niemals Ihr Kontopasswort, Zahlungspasswort oder einen einmaligen Bestätigungscode anfordern.</w:t>
      </w:r>
    </w:p>
    <w:p>
      <w:pPr>
        <w:pStyle w:val="Heading1"/>
        <w:keepLines w:val="0"/>
      </w:pPr>
      <w:r>
        <w:rPr>
          <w:rFonts w:ascii="Noto Sans" w:hAnsi="Noto Sans" w:eastAsia="Arial Unicode MS" w:cs="Noto Sans"/>
          <w:b w:val="0"/>
        </w:rPr>
        <w:t>Neun. Priorität offizieller Kommunikationen</w:t>
      </w:r>
    </w:p>
    <w:p>
      <w:pPr>
        <w:keepLines w:val="0"/>
      </w:pPr>
      <w:r>
        <w:rPr>
          <w:rFonts w:ascii="Noto Sans" w:hAnsi="Noto Sans" w:eastAsia="Arial Unicode MS" w:cs="Noto Sans"/>
          <w:b w:val="0"/>
        </w:rPr>
        <w:t>Bei Widersprüchen zwischen Informationen, die über verschiedene Social-Media-Plattformen, Spielerberichte, Gruppenchat-Screenshots oder Drittanbieter-Websites verbreitet werden, haben die offiziellen Ankündigungen auf dawnbloom.net, die entsprechenden rechtlichen Dokumente und die offiziellen Mitteilungen im Spiel Vorrang. Einzelne Aussagen von Spielern, Streamern, Gruppenadministratoren, Freiwilligen, Partnern oder Community-Mitgliedern stellen keine offizielle Vertretung der Position von DAWNBLOOM(DAWNBLOOM) dar.</w:t>
      </w:r>
    </w:p>
    <w:p>
      <w:pPr>
        <w:pStyle w:val="Heading1"/>
        <w:keepLines w:val="0"/>
      </w:pPr>
      <w:r>
        <w:rPr>
          <w:rFonts w:ascii="Noto Sans" w:hAnsi="Noto Sans" w:eastAsia="Arial Unicode MS" w:cs="Noto Sans"/>
          <w:b w:val="0"/>
        </w:rPr>
        <w:t>Zehn. Anti-Betrug-Schnellidentifikationskarte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Wenn die Person Folgendes sagt:</w:t>
            </w:r>
          </w:p>
        </w:tc>
        <w:tc>
          <w:tcPr>
            <w:tcW w:type="dxa" w:w="4873"/>
            <w:vAlign w:val="center"/>
            <w:shd w:fill="DCE8F7"/>
          </w:tcPr>
          <w:p>
            <w:pPr>
              <w:keepNext/>
              <w:spacing w:after="40"/>
            </w:pPr>
            <w:r>
              <w:rPr>
                <w:rFonts w:ascii="Noto Sans" w:hAnsi="Noto Sans" w:eastAsia="Arial Unicode MS" w:cs="Noto Sans"/>
                <w:b/>
                <w:sz w:val="17"/>
              </w:rPr>
              <w:t>Ihre erste Reaktion sollte sein:</w:t>
            </w:r>
          </w:p>
        </w:tc>
      </w:tr>
      <w:tr>
        <w:trPr>
          <w:cantSplit/>
        </w:trPr>
        <w:tc>
          <w:tcPr>
            <w:tcW w:type="dxa" w:w="4873"/>
            <w:vAlign w:val="center"/>
          </w:tcPr>
          <w:p>
            <w:pPr>
              <w:spacing w:after="40"/>
            </w:pPr>
            <w:r>
              <w:rPr>
                <w:rFonts w:ascii="Noto Sans" w:hAnsi="Noto Sans" w:eastAsia="Arial Unicode MS" w:cs="Noto Sans"/>
                <w:sz w:val="17"/>
              </w:rPr>
              <w:t>"Kontofehler — sende mir den Bestätigungscode."</w:t>
            </w:r>
          </w:p>
        </w:tc>
        <w:tc>
          <w:tcPr>
            <w:tcW w:type="dxa" w:w="4873"/>
            <w:vAlign w:val="center"/>
          </w:tcPr>
          <w:p>
            <w:pPr>
              <w:spacing w:after="40"/>
            </w:pPr>
            <w:r>
              <w:rPr>
                <w:rFonts w:ascii="Noto Sans" w:hAnsi="Noto Sans" w:eastAsia="Arial Unicode MS" w:cs="Noto Sans"/>
                <w:sz w:val="17"/>
              </w:rPr>
              <w:t>Nicht senden. Offizielle Kanäle werden niemals einen einmaligen Bestätigungscode anfordern.</w:t>
            </w:r>
          </w:p>
        </w:tc>
      </w:tr>
      <w:tr>
        <w:trPr>
          <w:cantSplit/>
        </w:trPr>
        <w:tc>
          <w:tcPr>
            <w:tcW w:type="dxa" w:w="4873"/>
            <w:vAlign w:val="center"/>
          </w:tcPr>
          <w:p>
            <w:pPr>
              <w:spacing w:after="40"/>
            </w:pPr>
            <w:r>
              <w:rPr>
                <w:rFonts w:ascii="Noto Sans" w:hAnsi="Noto Sans" w:eastAsia="Arial Unicode MS" w:cs="Noto Sans"/>
                <w:sz w:val="17"/>
              </w:rPr>
              <w:t>"Überweisen Sie zuerst Geld; nach der Rückerstattung geben wir das Geld gemeinsam zurück."</w:t>
            </w:r>
          </w:p>
        </w:tc>
        <w:tc>
          <w:tcPr>
            <w:tcW w:type="dxa" w:w="4873"/>
            <w:vAlign w:val="center"/>
          </w:tcPr>
          <w:p>
            <w:pPr>
              <w:spacing w:after="40"/>
            </w:pPr>
            <w:r>
              <w:rPr>
                <w:rFonts w:ascii="Noto Sans" w:hAnsi="Noto Sans" w:eastAsia="Arial Unicode MS" w:cs="Noto Sans"/>
                <w:sz w:val="17"/>
              </w:rPr>
              <w:t>Nicht zahlen. Offizielle Erstattungen werden niemals verlangen, dass Sie zuerst Geld auf ein persönliches Konto überweisen.</w:t>
            </w:r>
          </w:p>
        </w:tc>
      </w:tr>
      <w:tr>
        <w:trPr>
          <w:cantSplit/>
        </w:trPr>
        <w:tc>
          <w:tcPr>
            <w:tcW w:type="dxa" w:w="4873"/>
            <w:vAlign w:val="center"/>
          </w:tcPr>
          <w:p>
            <w:pPr>
              <w:spacing w:after="40"/>
            </w:pPr>
            <w:r>
              <w:rPr>
                <w:rFonts w:ascii="Noto Sans" w:hAnsi="Noto Sans" w:eastAsia="Arial Unicode MS" w:cs="Noto Sans"/>
                <w:sz w:val="17"/>
              </w:rPr>
              <w:t>"Überweise deine Phantomtiere oder Ausrüstung auf ein sicheres Konto zur Inspektion."</w:t>
            </w:r>
          </w:p>
        </w:tc>
        <w:tc>
          <w:tcPr>
            <w:tcW w:type="dxa" w:w="4873"/>
            <w:vAlign w:val="center"/>
          </w:tcPr>
          <w:p>
            <w:pPr>
              <w:spacing w:after="40"/>
            </w:pPr>
            <w:r>
              <w:rPr>
                <w:rFonts w:ascii="Noto Sans" w:hAnsi="Noto Sans" w:eastAsia="Arial Unicode MS" w:cs="Noto Sans"/>
                <w:sz w:val="17"/>
              </w:rPr>
              <w:t>Nicht übertragen. Offizielle Kanäle werden niemals eine Asset-Verifizierung über Spielercharakterkonten anfordern.</w:t>
            </w:r>
          </w:p>
        </w:tc>
      </w:tr>
      <w:tr>
        <w:trPr>
          <w:cantSplit/>
        </w:trPr>
        <w:tc>
          <w:tcPr>
            <w:tcW w:type="dxa" w:w="4873"/>
            <w:vAlign w:val="center"/>
          </w:tcPr>
          <w:p>
            <w:pPr>
              <w:spacing w:after="40"/>
            </w:pPr>
            <w:r>
              <w:rPr>
                <w:rFonts w:ascii="Noto Sans" w:hAnsi="Noto Sans" w:eastAsia="Arial Unicode MS" w:cs="Noto Sans"/>
                <w:sz w:val="17"/>
              </w:rPr>
              <w:t>"Klicke auf diesen Link, um dich anzumelden und deine Belohnung abzuholen."</w:t>
            </w:r>
          </w:p>
        </w:tc>
        <w:tc>
          <w:tcPr>
            <w:tcW w:type="dxa" w:w="4873"/>
            <w:vAlign w:val="center"/>
          </w:tcPr>
          <w:p>
            <w:pPr>
              <w:spacing w:after="40"/>
            </w:pPr>
            <w:r>
              <w:rPr>
                <w:rFonts w:ascii="Noto Sans" w:hAnsi="Noto Sans" w:eastAsia="Arial Unicode MS" w:cs="Noto Sans"/>
                <w:sz w:val="17"/>
              </w:rPr>
              <w:t>Überprüfen Sie zunächst, ob der Link zu dawnbloom.net gehört oder explizit als offizieller Einstiegspunkt auf der offiziellen Website aufgeführt ist.</w:t>
            </w:r>
          </w:p>
        </w:tc>
      </w:tr>
      <w:tr>
        <w:trPr>
          <w:cantSplit/>
        </w:trPr>
        <w:tc>
          <w:tcPr>
            <w:tcW w:type="dxa" w:w="4873"/>
            <w:vAlign w:val="center"/>
          </w:tcPr>
          <w:p>
            <w:pPr>
              <w:spacing w:after="40"/>
            </w:pPr>
            <w:r>
              <w:rPr>
                <w:rFonts w:ascii="Noto Sans" w:hAnsi="Noto Sans" w:eastAsia="Arial Unicode MS" w:cs="Noto Sans"/>
                <w:sz w:val="17"/>
              </w:rPr>
              <w:t>"Ich bin ein GM; füge meinen privaten Kontakt hinzu, um zu bearbeiten."</w:t>
            </w:r>
          </w:p>
        </w:tc>
        <w:tc>
          <w:tcPr>
            <w:tcW w:type="dxa" w:w="4873"/>
            <w:vAlign w:val="center"/>
          </w:tcPr>
          <w:p>
            <w:pPr>
              <w:spacing w:after="40"/>
            </w:pPr>
            <w:r>
              <w:rPr>
                <w:rFonts w:ascii="Noto Sans" w:hAnsi="Noto Sans" w:eastAsia="Arial Unicode MS" w:cs="Noto Sans"/>
                <w:sz w:val="17"/>
              </w:rPr>
              <w:t>Greifen Sie immer zuerst auf das Kundenservice-Portal der offiziellen Website zu und überprüfen Sie die Identität der Person, die behauptet, ein GM zu sein.</w:t>
            </w:r>
          </w:p>
        </w:tc>
      </w:tr>
      <w:tr>
        <w:trPr>
          <w:cantSplit/>
        </w:trPr>
        <w:tc>
          <w:tcPr>
            <w:tcW w:type="dxa" w:w="4873"/>
            <w:vAlign w:val="center"/>
          </w:tcPr>
          <w:p>
            <w:pPr>
              <w:spacing w:after="40"/>
            </w:pPr>
            <w:r>
              <w:rPr>
                <w:rFonts w:ascii="Noto Sans" w:hAnsi="Noto Sans" w:eastAsia="Arial Unicode MS" w:cs="Noto Sans"/>
                <w:sz w:val="17"/>
              </w:rPr>
              <w:t>"Wir werden dich dauerhaft bestrafen, wenn wir nicht sofort handeln."</w:t>
            </w:r>
          </w:p>
        </w:tc>
        <w:tc>
          <w:tcPr>
            <w:tcW w:type="dxa" w:w="4873"/>
            <w:vAlign w:val="center"/>
          </w:tcPr>
          <w:p>
            <w:pPr>
              <w:spacing w:after="40"/>
            </w:pPr>
            <w:r>
              <w:rPr>
                <w:rFonts w:ascii="Noto Sans" w:hAnsi="Noto Sans" w:eastAsia="Arial Unicode MS" w:cs="Noto Sans"/>
                <w:sz w:val="17"/>
              </w:rPr>
              <w:t>Lassen Sie sich nicht unter Druck setzen. Beenden Sie sofort alle Handlungen und überprüfen Sie die Informationen über die offizielle Website.</w:t>
            </w:r>
          </w:p>
        </w:tc>
      </w:tr>
    </w:tbl>
    <w:p>
      <w:pPr>
        <w:spacing w:after="40"/>
      </w:pPr>
    </w:p>
    <w:p>
      <w:pPr>
        <w:pStyle w:val="Heading1"/>
        <w:keepLines w:val="0"/>
      </w:pPr>
      <w:r>
        <w:rPr>
          <w:rFonts w:ascii="Noto Sans" w:hAnsi="Noto Sans" w:eastAsia="Arial Unicode MS" w:cs="Noto Sans"/>
          <w:b w:val="0"/>
        </w:rPr>
        <w:t>Bitte denken Sie daran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Echte offizielle Kanäle haben keine Angst davor, dass Sie „zunächst auf der offiziellen Website überprüfen“. Jeder, der Sie auffordert, die offizielle Website, die Plattform oder normale Zahlungsprozesse zu umgehen, sollte mit Vorsicht behandelt werden.</w:t>
              <w:br/>
              <w:br/>
              <w:t>Wenn Sie unsicher sind, ob eine Nachricht authentisch ist, beenden Sie alle Handlungen und überprüfen Sie dies über support@dawnbloom.net oder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Hinweis zu Offiziellen Kanälen &amp; Anti-Betrug von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